
<file path=[Content_Types].xml><?xml version="1.0" encoding="utf-8"?>
<Types xmlns="http://schemas.openxmlformats.org/package/2006/content-types">
  <Default Extension="wmf" ContentType="image/x-wmf"/>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025F93">
      <w:pPr>
        <w:spacing w:before="120" w:after="120" w:line="300" w:lineRule="auto"/>
        <w:jc w:val="center"/>
        <w:rPr>
          <w:rFonts w:ascii="宋体" w:hAnsi="宋体"/>
          <w:b/>
          <w:sz w:val="52"/>
          <w:szCs w:val="52"/>
        </w:rPr>
      </w:pPr>
      <w:r>
        <w:rPr>
          <w:rFonts w:ascii="宋体" w:hAnsi="宋体"/>
          <w:b/>
          <w:sz w:val="52"/>
          <w:szCs w:val="52"/>
        </w:rPr>
        <w:drawing>
          <wp:inline distT="0" distB="0" distL="114300" distR="114300">
            <wp:extent cx="5302885" cy="1133475"/>
            <wp:effectExtent l="0" t="0" r="635" b="9525"/>
            <wp:docPr id="1" name="图片 1" descr="C:\Users\Administrator\Documents\Tencent Files\1051331063\FileRecv\盐城幼专学校标识.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strator\Documents\Tencent Files\1051331063\FileRecv\盐城幼专学校标识.jpg"/>
                    <pic:cNvPicPr>
                      <a:picLocks noChangeAspect="1"/>
                    </pic:cNvPicPr>
                  </pic:nvPicPr>
                  <pic:blipFill>
                    <a:blip r:embed="rId7"/>
                    <a:stretch>
                      <a:fillRect/>
                    </a:stretch>
                  </pic:blipFill>
                  <pic:spPr>
                    <a:xfrm>
                      <a:off x="0" y="0"/>
                      <a:ext cx="5302885" cy="1133475"/>
                    </a:xfrm>
                    <a:prstGeom prst="rect">
                      <a:avLst/>
                    </a:prstGeom>
                    <a:noFill/>
                    <a:ln>
                      <a:noFill/>
                    </a:ln>
                  </pic:spPr>
                </pic:pic>
              </a:graphicData>
            </a:graphic>
          </wp:inline>
        </w:drawing>
      </w:r>
    </w:p>
    <w:p w14:paraId="6B970039">
      <w:pPr>
        <w:spacing w:before="120" w:after="120" w:line="300" w:lineRule="auto"/>
        <w:jc w:val="center"/>
        <w:rPr>
          <w:rFonts w:ascii="宋体" w:hAnsi="宋体"/>
          <w:b/>
          <w:sz w:val="52"/>
          <w:szCs w:val="52"/>
        </w:rPr>
      </w:pPr>
    </w:p>
    <w:p w14:paraId="518CD8CE">
      <w:pPr>
        <w:spacing w:before="120" w:after="120" w:line="300" w:lineRule="auto"/>
        <w:jc w:val="center"/>
        <w:rPr>
          <w:b/>
          <w:color w:val="000000"/>
          <w:sz w:val="84"/>
          <w:szCs w:val="21"/>
          <w:highlight w:val="none"/>
        </w:rPr>
      </w:pPr>
      <w:r>
        <w:rPr>
          <w:rFonts w:hint="eastAsia" w:ascii="方正小标宋_GBK" w:hAnsi="方正小标宋_GBK" w:eastAsia="方正小标宋_GBK" w:cs="方正小标宋_GBK"/>
          <w:color w:val="000000"/>
          <w:sz w:val="84"/>
          <w:highlight w:val="none"/>
        </w:rPr>
        <w:t>询 价 文 件</w:t>
      </w:r>
    </w:p>
    <w:p w14:paraId="64813FFD">
      <w:pPr>
        <w:spacing w:line="300" w:lineRule="auto"/>
        <w:rPr>
          <w:b/>
          <w:bCs/>
          <w:color w:val="000000"/>
          <w:sz w:val="28"/>
          <w:highlight w:val="none"/>
        </w:rPr>
      </w:pPr>
    </w:p>
    <w:p w14:paraId="43511EE7">
      <w:pPr>
        <w:spacing w:line="300" w:lineRule="auto"/>
        <w:jc w:val="center"/>
        <w:rPr>
          <w:b/>
          <w:bCs/>
          <w:color w:val="000000"/>
          <w:sz w:val="28"/>
          <w:highlight w:val="none"/>
        </w:rPr>
      </w:pPr>
    </w:p>
    <w:p w14:paraId="230F2997">
      <w:pPr>
        <w:ind w:firstLine="723" w:firstLineChars="200"/>
        <w:rPr>
          <w:rFonts w:hint="eastAsia" w:ascii="宋体"/>
          <w:b/>
          <w:color w:val="000000"/>
          <w:sz w:val="36"/>
          <w:highlight w:val="none"/>
          <w:lang w:eastAsia="zh-CN"/>
        </w:rPr>
      </w:pPr>
      <w:r>
        <w:rPr>
          <w:rFonts w:hint="eastAsia" w:ascii="宋体"/>
          <w:b/>
          <w:color w:val="000000"/>
          <w:sz w:val="36"/>
          <w:highlight w:val="none"/>
        </w:rPr>
        <w:t>项目名称：盐城幼儿师范高等专科学校</w:t>
      </w:r>
      <w:r>
        <w:rPr>
          <w:rFonts w:hint="eastAsia" w:ascii="宋体"/>
          <w:b/>
          <w:color w:val="000000"/>
          <w:sz w:val="36"/>
          <w:highlight w:val="none"/>
          <w:lang w:eastAsia="zh-CN"/>
        </w:rPr>
        <w:t>艺术中心</w:t>
      </w:r>
    </w:p>
    <w:p w14:paraId="4917DCA6">
      <w:pPr>
        <w:ind w:firstLine="723" w:firstLineChars="200"/>
        <w:rPr>
          <w:rFonts w:ascii="宋体"/>
          <w:b/>
          <w:color w:val="000000"/>
          <w:sz w:val="36"/>
          <w:highlight w:val="none"/>
        </w:rPr>
      </w:pPr>
      <w:r>
        <w:rPr>
          <w:rFonts w:hint="eastAsia" w:ascii="宋体"/>
          <w:b/>
          <w:color w:val="000000"/>
          <w:sz w:val="36"/>
          <w:highlight w:val="none"/>
          <w:lang w:eastAsia="zh-CN"/>
        </w:rPr>
        <w:t>音乐教室、公共教室、钢琴教室窗帘采购安装项目</w:t>
      </w:r>
    </w:p>
    <w:p w14:paraId="700BD7E7">
      <w:pPr>
        <w:jc w:val="center"/>
        <w:rPr>
          <w:rFonts w:eastAsia="黑体"/>
          <w:b/>
          <w:color w:val="000000"/>
          <w:sz w:val="32"/>
          <w:highlight w:val="none"/>
        </w:rPr>
      </w:pPr>
    </w:p>
    <w:p w14:paraId="0172BC91">
      <w:pPr>
        <w:ind w:firstLine="723" w:firstLineChars="200"/>
        <w:rPr>
          <w:rFonts w:hint="eastAsia" w:ascii="宋体" w:eastAsia="宋体"/>
          <w:b/>
          <w:color w:val="000000"/>
          <w:sz w:val="30"/>
          <w:szCs w:val="30"/>
          <w:highlight w:val="none"/>
          <w:lang w:val="en-US" w:eastAsia="zh-CN"/>
        </w:rPr>
      </w:pPr>
      <w:r>
        <w:rPr>
          <w:rFonts w:hint="eastAsia" w:ascii="宋体"/>
          <w:b/>
          <w:color w:val="000000"/>
          <w:sz w:val="36"/>
          <w:szCs w:val="36"/>
          <w:highlight w:val="none"/>
        </w:rPr>
        <w:t>项</w:t>
      </w:r>
      <w:r>
        <w:rPr>
          <w:rFonts w:hint="eastAsia" w:ascii="宋体" w:hAnsi="宋体" w:cs="宋体"/>
          <w:b/>
          <w:color w:val="000000"/>
          <w:sz w:val="36"/>
          <w:szCs w:val="36"/>
          <w:highlight w:val="none"/>
        </w:rPr>
        <w:t>目编号</w:t>
      </w:r>
      <w:r>
        <w:rPr>
          <w:rFonts w:hint="eastAsia" w:ascii="宋体"/>
          <w:b/>
          <w:color w:val="000000"/>
          <w:sz w:val="36"/>
          <w:highlight w:val="none"/>
        </w:rPr>
        <w:t>：</w:t>
      </w:r>
      <w:r>
        <w:rPr>
          <w:rFonts w:hint="eastAsia" w:ascii="宋体" w:hAnsi="宋体" w:eastAsia="宋体" w:cs="宋体"/>
          <w:b/>
          <w:bCs/>
          <w:sz w:val="36"/>
          <w:szCs w:val="36"/>
        </w:rPr>
        <w:t>YCYZ2024</w:t>
      </w:r>
      <w:r>
        <w:rPr>
          <w:rFonts w:hint="eastAsia" w:ascii="宋体" w:hAnsi="宋体" w:eastAsia="宋体" w:cs="宋体"/>
          <w:b/>
          <w:bCs/>
          <w:sz w:val="36"/>
          <w:szCs w:val="36"/>
          <w:lang w:val="en-US" w:eastAsia="zh-CN"/>
        </w:rPr>
        <w:t>HW</w:t>
      </w:r>
      <w:r>
        <w:rPr>
          <w:rFonts w:hint="eastAsia" w:ascii="宋体" w:hAnsi="宋体" w:eastAsia="宋体" w:cs="宋体"/>
          <w:b/>
          <w:bCs/>
          <w:sz w:val="36"/>
          <w:szCs w:val="36"/>
        </w:rPr>
        <w:t>00</w:t>
      </w:r>
      <w:r>
        <w:rPr>
          <w:rFonts w:hint="eastAsia" w:ascii="宋体" w:hAnsi="宋体" w:eastAsia="宋体" w:cs="宋体"/>
          <w:b/>
          <w:bCs/>
          <w:sz w:val="36"/>
          <w:szCs w:val="36"/>
          <w:lang w:val="en-US" w:eastAsia="zh-CN"/>
        </w:rPr>
        <w:t>1</w:t>
      </w:r>
    </w:p>
    <w:p w14:paraId="4097EF7F">
      <w:pPr>
        <w:rPr>
          <w:rFonts w:ascii="宋体"/>
          <w:b/>
          <w:color w:val="000000"/>
          <w:sz w:val="32"/>
          <w:highlight w:val="none"/>
        </w:rPr>
      </w:pPr>
    </w:p>
    <w:p w14:paraId="3D794B6C">
      <w:pPr>
        <w:rPr>
          <w:rFonts w:ascii="宋体"/>
          <w:b/>
          <w:color w:val="000000"/>
          <w:sz w:val="32"/>
          <w:highlight w:val="none"/>
        </w:rPr>
      </w:pPr>
    </w:p>
    <w:p w14:paraId="63EFC1CD">
      <w:pPr>
        <w:rPr>
          <w:rFonts w:ascii="宋体"/>
          <w:b/>
          <w:color w:val="000000"/>
          <w:sz w:val="32"/>
          <w:highlight w:val="none"/>
        </w:rPr>
      </w:pPr>
    </w:p>
    <w:p w14:paraId="298F2594">
      <w:pPr>
        <w:rPr>
          <w:rFonts w:ascii="宋体"/>
          <w:b/>
          <w:color w:val="000000"/>
          <w:sz w:val="32"/>
          <w:highlight w:val="none"/>
        </w:rPr>
      </w:pPr>
    </w:p>
    <w:p w14:paraId="4B1E297B">
      <w:pPr>
        <w:snapToGrid w:val="0"/>
        <w:spacing w:before="120" w:after="120" w:line="300" w:lineRule="auto"/>
        <w:jc w:val="center"/>
        <w:rPr>
          <w:rFonts w:ascii="宋体" w:hAnsi="宋体" w:eastAsia="宋体" w:cs="宋体"/>
          <w:sz w:val="36"/>
          <w:szCs w:val="36"/>
          <w:highlight w:val="none"/>
        </w:rPr>
      </w:pPr>
      <w:r>
        <w:rPr>
          <w:rFonts w:hint="eastAsia" w:ascii="宋体" w:hAnsi="宋体" w:cs="宋体"/>
          <w:sz w:val="36"/>
          <w:szCs w:val="36"/>
          <w:highlight w:val="none"/>
        </w:rPr>
        <w:t xml:space="preserve"> </w:t>
      </w:r>
      <w:r>
        <w:rPr>
          <w:rFonts w:hint="eastAsia" w:ascii="黑体" w:hAnsi="黑体" w:eastAsia="黑体" w:cs="黑体"/>
          <w:bCs/>
          <w:color w:val="000000"/>
          <w:sz w:val="36"/>
          <w:szCs w:val="36"/>
          <w:highlight w:val="none"/>
        </w:rPr>
        <w:t>盐城幼儿师范高等专科学校</w:t>
      </w:r>
    </w:p>
    <w:p w14:paraId="113F56B8">
      <w:pPr>
        <w:pStyle w:val="24"/>
        <w:widowControl w:val="0"/>
        <w:spacing w:before="120" w:beforeAutospacing="0" w:after="120" w:afterAutospacing="0" w:line="500" w:lineRule="exact"/>
        <w:jc w:val="center"/>
        <w:rPr>
          <w:rFonts w:ascii="黑体" w:hAnsi="黑体" w:eastAsia="黑体" w:cs="黑体"/>
          <w:bCs/>
          <w:color w:val="000000"/>
          <w:sz w:val="36"/>
          <w:szCs w:val="36"/>
          <w:highlight w:val="none"/>
        </w:rPr>
      </w:pPr>
      <w:r>
        <w:rPr>
          <w:rFonts w:hint="eastAsia" w:ascii="黑体" w:hAnsi="黑体" w:eastAsia="黑体" w:cs="黑体"/>
          <w:bCs/>
          <w:color w:val="000000"/>
          <w:sz w:val="36"/>
          <w:szCs w:val="36"/>
          <w:highlight w:val="none"/>
        </w:rPr>
        <w:t>2024</w:t>
      </w:r>
      <w:r>
        <w:rPr>
          <w:rFonts w:ascii="黑体" w:hAnsi="黑体" w:eastAsia="黑体" w:cs="黑体"/>
          <w:bCs/>
          <w:color w:val="000000"/>
          <w:sz w:val="36"/>
          <w:szCs w:val="36"/>
          <w:highlight w:val="none"/>
        </w:rPr>
        <w:t>年</w:t>
      </w:r>
      <w:r>
        <w:rPr>
          <w:rFonts w:hint="eastAsia" w:ascii="黑体" w:hAnsi="黑体" w:eastAsia="黑体" w:cs="黑体"/>
          <w:bCs/>
          <w:color w:val="000000"/>
          <w:sz w:val="36"/>
          <w:szCs w:val="36"/>
          <w:highlight w:val="none"/>
          <w:lang w:val="en-US" w:eastAsia="zh-CN"/>
        </w:rPr>
        <w:t>6</w:t>
      </w:r>
      <w:r>
        <w:rPr>
          <w:rFonts w:ascii="黑体" w:hAnsi="黑体" w:eastAsia="黑体" w:cs="黑体"/>
          <w:bCs/>
          <w:color w:val="000000"/>
          <w:sz w:val="36"/>
          <w:szCs w:val="36"/>
          <w:highlight w:val="none"/>
        </w:rPr>
        <w:t>月</w:t>
      </w:r>
    </w:p>
    <w:p w14:paraId="01AEA005">
      <w:pPr>
        <w:pStyle w:val="24"/>
        <w:widowControl w:val="0"/>
        <w:spacing w:before="120" w:beforeAutospacing="0" w:after="120" w:afterAutospacing="0" w:line="500" w:lineRule="exact"/>
        <w:jc w:val="center"/>
        <w:rPr>
          <w:rFonts w:ascii="黑体" w:hAnsi="黑体" w:eastAsia="黑体" w:cs="黑体"/>
          <w:bCs/>
          <w:color w:val="000000"/>
          <w:spacing w:val="15"/>
          <w:sz w:val="36"/>
          <w:szCs w:val="36"/>
          <w:highlight w:val="none"/>
        </w:rPr>
      </w:pPr>
    </w:p>
    <w:p w14:paraId="25585A8B">
      <w:pPr>
        <w:pStyle w:val="24"/>
        <w:widowControl w:val="0"/>
        <w:spacing w:before="120" w:beforeAutospacing="0" w:after="120" w:afterAutospacing="0" w:line="500" w:lineRule="exact"/>
        <w:jc w:val="center"/>
        <w:rPr>
          <w:rFonts w:ascii="黑体" w:hAnsi="黑体" w:eastAsia="黑体" w:cs="黑体"/>
          <w:bCs/>
          <w:color w:val="000000"/>
          <w:spacing w:val="15"/>
          <w:sz w:val="36"/>
          <w:szCs w:val="36"/>
          <w:highlight w:val="none"/>
        </w:rPr>
        <w:sectPr>
          <w:pgSz w:w="11906" w:h="16838"/>
          <w:pgMar w:top="1985" w:right="1588" w:bottom="1701" w:left="1588" w:header="851" w:footer="992" w:gutter="0"/>
          <w:cols w:space="425" w:num="1"/>
          <w:docGrid w:type="lines" w:linePitch="312" w:charSpace="0"/>
        </w:sectPr>
      </w:pPr>
    </w:p>
    <w:p w14:paraId="75553A4D">
      <w:pPr>
        <w:pStyle w:val="24"/>
        <w:widowControl w:val="0"/>
        <w:spacing w:before="120" w:beforeAutospacing="0" w:after="120" w:afterAutospacing="0" w:line="500" w:lineRule="exact"/>
        <w:jc w:val="center"/>
        <w:rPr>
          <w:rFonts w:ascii="黑体" w:hAnsi="黑体" w:eastAsia="黑体" w:cs="黑体"/>
          <w:bCs/>
          <w:color w:val="000000"/>
          <w:spacing w:val="15"/>
          <w:sz w:val="36"/>
          <w:szCs w:val="36"/>
          <w:highlight w:val="none"/>
        </w:rPr>
      </w:pPr>
    </w:p>
    <w:p w14:paraId="55EE6C92">
      <w:pPr>
        <w:pStyle w:val="24"/>
        <w:widowControl w:val="0"/>
        <w:spacing w:before="0" w:beforeAutospacing="0" w:after="0" w:afterAutospacing="0" w:line="480" w:lineRule="auto"/>
        <w:jc w:val="center"/>
        <w:rPr>
          <w:sz w:val="32"/>
          <w:szCs w:val="32"/>
          <w:highlight w:val="none"/>
        </w:rPr>
      </w:pPr>
      <w:r>
        <w:rPr>
          <w:rFonts w:hint="eastAsia"/>
          <w:b/>
          <w:bCs/>
          <w:color w:val="000000"/>
          <w:sz w:val="44"/>
          <w:szCs w:val="44"/>
          <w:highlight w:val="none"/>
        </w:rPr>
        <w:t>总 目 录</w:t>
      </w:r>
    </w:p>
    <w:p w14:paraId="5DE56226">
      <w:pPr>
        <w:pStyle w:val="24"/>
        <w:widowControl w:val="0"/>
        <w:tabs>
          <w:tab w:val="left" w:pos="1441"/>
        </w:tabs>
        <w:spacing w:before="0" w:beforeAutospacing="0" w:after="0" w:afterAutospacing="0" w:line="480" w:lineRule="auto"/>
        <w:ind w:left="2160" w:hanging="1440"/>
        <w:jc w:val="both"/>
        <w:rPr>
          <w:highlight w:val="none"/>
        </w:rPr>
      </w:pPr>
      <w:r>
        <w:rPr>
          <w:highlight w:val="none"/>
        </w:rPr>
        <w:t> </w:t>
      </w:r>
    </w:p>
    <w:p w14:paraId="392C5218">
      <w:pPr>
        <w:pStyle w:val="12"/>
        <w:tabs>
          <w:tab w:val="right" w:leader="dot" w:pos="8720"/>
        </w:tabs>
        <w:rPr>
          <w:rStyle w:val="20"/>
          <w:rFonts w:ascii="Times New Roman" w:hAnsi="Times New Roman" w:eastAsia="方正小标宋_GBK"/>
          <w:color w:val="auto"/>
          <w:w w:val="95"/>
          <w:highlight w:val="none"/>
          <w:u w:val="none"/>
        </w:rPr>
      </w:pPr>
      <w:r>
        <w:rPr>
          <w:rStyle w:val="20"/>
          <w:rFonts w:hint="eastAsia" w:ascii="Times New Roman" w:hAnsi="Times New Roman" w:eastAsia="方正小标宋_GBK"/>
          <w:color w:val="auto"/>
          <w:w w:val="95"/>
          <w:highlight w:val="none"/>
          <w:u w:val="none"/>
        </w:rPr>
        <w:t xml:space="preserve">第一部分  </w:t>
      </w:r>
      <w:r>
        <w:rPr>
          <w:rStyle w:val="20"/>
          <w:rFonts w:ascii="Times New Roman" w:hAnsi="Times New Roman" w:eastAsia="方正小标宋_GBK"/>
          <w:color w:val="auto"/>
          <w:w w:val="95"/>
          <w:highlight w:val="none"/>
          <w:u w:val="none"/>
        </w:rPr>
        <w:fldChar w:fldCharType="begin"/>
      </w:r>
      <w:r>
        <w:rPr>
          <w:rStyle w:val="20"/>
          <w:rFonts w:ascii="Times New Roman" w:hAnsi="Times New Roman" w:eastAsia="方正小标宋_GBK"/>
          <w:color w:val="auto"/>
          <w:w w:val="95"/>
          <w:highlight w:val="none"/>
          <w:u w:val="none"/>
        </w:rPr>
        <w:instrText xml:space="preserve"> </w:instrText>
      </w:r>
      <w:r>
        <w:rPr>
          <w:rStyle w:val="20"/>
          <w:rFonts w:hint="eastAsia" w:ascii="Times New Roman" w:hAnsi="Times New Roman" w:eastAsia="方正小标宋_GBK"/>
          <w:color w:val="auto"/>
          <w:w w:val="95"/>
          <w:highlight w:val="none"/>
          <w:u w:val="none"/>
        </w:rPr>
        <w:instrText xml:space="preserve">TOC \o "1-1" \h \z \u</w:instrText>
      </w:r>
      <w:r>
        <w:rPr>
          <w:rStyle w:val="20"/>
          <w:rFonts w:ascii="Times New Roman" w:hAnsi="Times New Roman" w:eastAsia="方正小标宋_GBK"/>
          <w:color w:val="auto"/>
          <w:w w:val="95"/>
          <w:highlight w:val="none"/>
          <w:u w:val="none"/>
        </w:rPr>
        <w:instrText xml:space="preserve"> </w:instrText>
      </w:r>
      <w:r>
        <w:rPr>
          <w:rStyle w:val="20"/>
          <w:rFonts w:ascii="Times New Roman" w:hAnsi="Times New Roman" w:eastAsia="方正小标宋_GBK"/>
          <w:color w:val="auto"/>
          <w:w w:val="95"/>
          <w:highlight w:val="none"/>
          <w:u w:val="none"/>
        </w:rPr>
        <w:fldChar w:fldCharType="separate"/>
      </w:r>
      <w:r>
        <w:rPr>
          <w:highlight w:val="none"/>
        </w:rPr>
        <w:fldChar w:fldCharType="begin"/>
      </w:r>
      <w:r>
        <w:rPr>
          <w:highlight w:val="none"/>
        </w:rPr>
        <w:instrText xml:space="preserve"> HYPERLINK \l "_Toc162856085" </w:instrText>
      </w:r>
      <w:r>
        <w:rPr>
          <w:highlight w:val="none"/>
        </w:rPr>
        <w:fldChar w:fldCharType="separate"/>
      </w:r>
      <w:r>
        <w:rPr>
          <w:rStyle w:val="20"/>
          <w:rFonts w:hint="eastAsia" w:ascii="Times New Roman" w:hAnsi="Times New Roman" w:eastAsia="方正小标宋_GBK"/>
          <w:color w:val="auto"/>
          <w:w w:val="95"/>
          <w:highlight w:val="none"/>
          <w:u w:val="none"/>
        </w:rPr>
        <w:t>采购公告</w:t>
      </w:r>
      <w:r>
        <w:rPr>
          <w:rStyle w:val="20"/>
          <w:rFonts w:ascii="Times New Roman" w:hAnsi="Times New Roman" w:eastAsia="方正小标宋_GBK"/>
          <w:color w:val="auto"/>
          <w:w w:val="95"/>
          <w:highlight w:val="none"/>
          <w:u w:val="none"/>
        </w:rPr>
        <w:tab/>
      </w:r>
      <w:r>
        <w:rPr>
          <w:rStyle w:val="20"/>
          <w:rFonts w:ascii="Times New Roman" w:hAnsi="Times New Roman" w:eastAsia="方正小标宋_GBK"/>
          <w:color w:val="auto"/>
          <w:w w:val="95"/>
          <w:highlight w:val="none"/>
          <w:u w:val="none"/>
        </w:rPr>
        <w:fldChar w:fldCharType="begin"/>
      </w:r>
      <w:r>
        <w:rPr>
          <w:rStyle w:val="20"/>
          <w:rFonts w:ascii="Times New Roman" w:hAnsi="Times New Roman" w:eastAsia="方正小标宋_GBK"/>
          <w:color w:val="auto"/>
          <w:w w:val="95"/>
          <w:highlight w:val="none"/>
          <w:u w:val="none"/>
        </w:rPr>
        <w:instrText xml:space="preserve"> PAGEREF _Toc162856085 \h </w:instrText>
      </w:r>
      <w:r>
        <w:rPr>
          <w:rStyle w:val="20"/>
          <w:rFonts w:ascii="Times New Roman" w:hAnsi="Times New Roman" w:eastAsia="方正小标宋_GBK"/>
          <w:color w:val="auto"/>
          <w:w w:val="95"/>
          <w:highlight w:val="none"/>
          <w:u w:val="none"/>
        </w:rPr>
        <w:fldChar w:fldCharType="separate"/>
      </w:r>
      <w:r>
        <w:rPr>
          <w:rStyle w:val="20"/>
          <w:rFonts w:ascii="Times New Roman" w:hAnsi="Times New Roman" w:eastAsia="方正小标宋_GBK"/>
          <w:color w:val="auto"/>
          <w:w w:val="95"/>
          <w:highlight w:val="none"/>
          <w:u w:val="none"/>
        </w:rPr>
        <w:t>1</w:t>
      </w:r>
      <w:r>
        <w:rPr>
          <w:rStyle w:val="20"/>
          <w:rFonts w:ascii="Times New Roman" w:hAnsi="Times New Roman" w:eastAsia="方正小标宋_GBK"/>
          <w:color w:val="auto"/>
          <w:w w:val="95"/>
          <w:highlight w:val="none"/>
          <w:u w:val="none"/>
        </w:rPr>
        <w:fldChar w:fldCharType="end"/>
      </w:r>
      <w:r>
        <w:rPr>
          <w:rStyle w:val="20"/>
          <w:rFonts w:ascii="Times New Roman" w:hAnsi="Times New Roman" w:eastAsia="方正小标宋_GBK"/>
          <w:color w:val="auto"/>
          <w:w w:val="95"/>
          <w:highlight w:val="none"/>
          <w:u w:val="none"/>
        </w:rPr>
        <w:fldChar w:fldCharType="end"/>
      </w:r>
    </w:p>
    <w:p w14:paraId="19C042E5">
      <w:pPr>
        <w:pStyle w:val="12"/>
        <w:tabs>
          <w:tab w:val="right" w:leader="dot" w:pos="8720"/>
        </w:tabs>
        <w:rPr>
          <w:rStyle w:val="20"/>
          <w:rFonts w:ascii="Times New Roman" w:hAnsi="Times New Roman" w:eastAsia="方正小标宋_GBK"/>
          <w:color w:val="auto"/>
          <w:w w:val="95"/>
          <w:highlight w:val="none"/>
          <w:u w:val="none"/>
        </w:rPr>
      </w:pPr>
      <w:r>
        <w:rPr>
          <w:highlight w:val="none"/>
        </w:rPr>
        <w:fldChar w:fldCharType="begin"/>
      </w:r>
      <w:r>
        <w:rPr>
          <w:highlight w:val="none"/>
        </w:rPr>
        <w:instrText xml:space="preserve"> HYPERLINK \l "_Toc162856086" </w:instrText>
      </w:r>
      <w:r>
        <w:rPr>
          <w:highlight w:val="none"/>
        </w:rPr>
        <w:fldChar w:fldCharType="separate"/>
      </w:r>
      <w:r>
        <w:rPr>
          <w:rStyle w:val="20"/>
          <w:rFonts w:hint="eastAsia" w:ascii="Times New Roman" w:hAnsi="Times New Roman" w:eastAsia="方正小标宋_GBK"/>
          <w:color w:val="auto"/>
          <w:w w:val="95"/>
          <w:highlight w:val="none"/>
          <w:u w:val="none"/>
        </w:rPr>
        <w:t>第二部分</w:t>
      </w:r>
      <w:r>
        <w:rPr>
          <w:rStyle w:val="20"/>
          <w:rFonts w:ascii="Times New Roman" w:hAnsi="Times New Roman" w:eastAsia="方正小标宋_GBK"/>
          <w:color w:val="auto"/>
          <w:w w:val="95"/>
          <w:highlight w:val="none"/>
          <w:u w:val="none"/>
        </w:rPr>
        <w:t xml:space="preserve">  </w:t>
      </w:r>
      <w:r>
        <w:rPr>
          <w:rStyle w:val="20"/>
          <w:rFonts w:hint="eastAsia" w:ascii="Times New Roman" w:hAnsi="Times New Roman" w:eastAsia="方正小标宋_GBK"/>
          <w:color w:val="auto"/>
          <w:w w:val="95"/>
          <w:highlight w:val="none"/>
          <w:u w:val="none"/>
        </w:rPr>
        <w:t>供应商须知</w:t>
      </w:r>
      <w:r>
        <w:rPr>
          <w:rStyle w:val="20"/>
          <w:rFonts w:ascii="Times New Roman" w:hAnsi="Times New Roman" w:eastAsia="方正小标宋_GBK"/>
          <w:color w:val="auto"/>
          <w:w w:val="95"/>
          <w:highlight w:val="none"/>
          <w:u w:val="none"/>
        </w:rPr>
        <w:tab/>
      </w:r>
      <w:r>
        <w:rPr>
          <w:rStyle w:val="20"/>
          <w:rFonts w:ascii="Times New Roman" w:hAnsi="Times New Roman" w:eastAsia="方正小标宋_GBK"/>
          <w:color w:val="auto"/>
          <w:w w:val="95"/>
          <w:highlight w:val="none"/>
          <w:u w:val="none"/>
        </w:rPr>
        <w:fldChar w:fldCharType="begin"/>
      </w:r>
      <w:r>
        <w:rPr>
          <w:rStyle w:val="20"/>
          <w:rFonts w:ascii="Times New Roman" w:hAnsi="Times New Roman" w:eastAsia="方正小标宋_GBK"/>
          <w:color w:val="auto"/>
          <w:w w:val="95"/>
          <w:highlight w:val="none"/>
          <w:u w:val="none"/>
        </w:rPr>
        <w:instrText xml:space="preserve"> PAGEREF _Toc162856086 \h </w:instrText>
      </w:r>
      <w:r>
        <w:rPr>
          <w:rStyle w:val="20"/>
          <w:rFonts w:ascii="Times New Roman" w:hAnsi="Times New Roman" w:eastAsia="方正小标宋_GBK"/>
          <w:color w:val="auto"/>
          <w:w w:val="95"/>
          <w:highlight w:val="none"/>
          <w:u w:val="none"/>
        </w:rPr>
        <w:fldChar w:fldCharType="separate"/>
      </w:r>
      <w:r>
        <w:rPr>
          <w:rStyle w:val="20"/>
          <w:rFonts w:ascii="Times New Roman" w:hAnsi="Times New Roman" w:eastAsia="方正小标宋_GBK"/>
          <w:color w:val="auto"/>
          <w:w w:val="95"/>
          <w:highlight w:val="none"/>
          <w:u w:val="none"/>
        </w:rPr>
        <w:t>4</w:t>
      </w:r>
      <w:r>
        <w:rPr>
          <w:rStyle w:val="20"/>
          <w:rFonts w:ascii="Times New Roman" w:hAnsi="Times New Roman" w:eastAsia="方正小标宋_GBK"/>
          <w:color w:val="auto"/>
          <w:w w:val="95"/>
          <w:highlight w:val="none"/>
          <w:u w:val="none"/>
        </w:rPr>
        <w:fldChar w:fldCharType="end"/>
      </w:r>
      <w:r>
        <w:rPr>
          <w:rStyle w:val="20"/>
          <w:rFonts w:ascii="Times New Roman" w:hAnsi="Times New Roman" w:eastAsia="方正小标宋_GBK"/>
          <w:color w:val="auto"/>
          <w:w w:val="95"/>
          <w:highlight w:val="none"/>
          <w:u w:val="none"/>
        </w:rPr>
        <w:fldChar w:fldCharType="end"/>
      </w:r>
    </w:p>
    <w:p w14:paraId="7D70C7BE">
      <w:pPr>
        <w:pStyle w:val="12"/>
        <w:tabs>
          <w:tab w:val="right" w:leader="dot" w:pos="8720"/>
        </w:tabs>
        <w:rPr>
          <w:rStyle w:val="20"/>
          <w:rFonts w:ascii="Times New Roman" w:hAnsi="Times New Roman" w:eastAsia="方正小标宋_GBK"/>
          <w:color w:val="auto"/>
          <w:w w:val="95"/>
          <w:highlight w:val="none"/>
          <w:u w:val="none"/>
        </w:rPr>
      </w:pPr>
      <w:r>
        <w:rPr>
          <w:highlight w:val="none"/>
        </w:rPr>
        <w:fldChar w:fldCharType="begin"/>
      </w:r>
      <w:r>
        <w:rPr>
          <w:highlight w:val="none"/>
        </w:rPr>
        <w:instrText xml:space="preserve"> HYPERLINK \l "_Toc162856087" </w:instrText>
      </w:r>
      <w:r>
        <w:rPr>
          <w:highlight w:val="none"/>
        </w:rPr>
        <w:fldChar w:fldCharType="separate"/>
      </w:r>
      <w:r>
        <w:rPr>
          <w:rStyle w:val="20"/>
          <w:rFonts w:hint="eastAsia" w:ascii="Times New Roman" w:hAnsi="Times New Roman" w:eastAsia="方正小标宋_GBK"/>
          <w:color w:val="auto"/>
          <w:w w:val="95"/>
          <w:highlight w:val="none"/>
          <w:u w:val="none"/>
        </w:rPr>
        <w:t>第三部分</w:t>
      </w:r>
      <w:r>
        <w:rPr>
          <w:rStyle w:val="20"/>
          <w:rFonts w:ascii="Times New Roman" w:hAnsi="Times New Roman" w:eastAsia="方正小标宋_GBK"/>
          <w:color w:val="auto"/>
          <w:w w:val="95"/>
          <w:highlight w:val="none"/>
          <w:u w:val="none"/>
        </w:rPr>
        <w:t xml:space="preserve">  </w:t>
      </w:r>
      <w:r>
        <w:rPr>
          <w:rStyle w:val="20"/>
          <w:rFonts w:hint="eastAsia" w:ascii="Times New Roman" w:hAnsi="Times New Roman" w:eastAsia="方正小标宋_GBK"/>
          <w:color w:val="auto"/>
          <w:w w:val="95"/>
          <w:highlight w:val="none"/>
          <w:u w:val="none"/>
        </w:rPr>
        <w:t>合同条款及格式</w:t>
      </w:r>
      <w:r>
        <w:rPr>
          <w:rStyle w:val="20"/>
          <w:rFonts w:ascii="Times New Roman" w:hAnsi="Times New Roman" w:eastAsia="方正小标宋_GBK"/>
          <w:color w:val="auto"/>
          <w:w w:val="95"/>
          <w:highlight w:val="none"/>
          <w:u w:val="none"/>
        </w:rPr>
        <w:tab/>
      </w:r>
      <w:r>
        <w:rPr>
          <w:rStyle w:val="20"/>
          <w:rFonts w:ascii="Times New Roman" w:hAnsi="Times New Roman" w:eastAsia="方正小标宋_GBK"/>
          <w:color w:val="auto"/>
          <w:w w:val="95"/>
          <w:highlight w:val="none"/>
          <w:u w:val="none"/>
        </w:rPr>
        <w:fldChar w:fldCharType="begin"/>
      </w:r>
      <w:r>
        <w:rPr>
          <w:rStyle w:val="20"/>
          <w:rFonts w:ascii="Times New Roman" w:hAnsi="Times New Roman" w:eastAsia="方正小标宋_GBK"/>
          <w:color w:val="auto"/>
          <w:w w:val="95"/>
          <w:highlight w:val="none"/>
          <w:u w:val="none"/>
        </w:rPr>
        <w:instrText xml:space="preserve"> PAGEREF _Toc162856087 \h </w:instrText>
      </w:r>
      <w:r>
        <w:rPr>
          <w:rStyle w:val="20"/>
          <w:rFonts w:ascii="Times New Roman" w:hAnsi="Times New Roman" w:eastAsia="方正小标宋_GBK"/>
          <w:color w:val="auto"/>
          <w:w w:val="95"/>
          <w:highlight w:val="none"/>
          <w:u w:val="none"/>
        </w:rPr>
        <w:fldChar w:fldCharType="separate"/>
      </w:r>
      <w:r>
        <w:rPr>
          <w:rStyle w:val="20"/>
          <w:rFonts w:ascii="Times New Roman" w:hAnsi="Times New Roman" w:eastAsia="方正小标宋_GBK"/>
          <w:color w:val="auto"/>
          <w:w w:val="95"/>
          <w:highlight w:val="none"/>
          <w:u w:val="none"/>
        </w:rPr>
        <w:t>15</w:t>
      </w:r>
      <w:r>
        <w:rPr>
          <w:rStyle w:val="20"/>
          <w:rFonts w:ascii="Times New Roman" w:hAnsi="Times New Roman" w:eastAsia="方正小标宋_GBK"/>
          <w:color w:val="auto"/>
          <w:w w:val="95"/>
          <w:highlight w:val="none"/>
          <w:u w:val="none"/>
        </w:rPr>
        <w:fldChar w:fldCharType="end"/>
      </w:r>
      <w:r>
        <w:rPr>
          <w:rStyle w:val="20"/>
          <w:rFonts w:ascii="Times New Roman" w:hAnsi="Times New Roman" w:eastAsia="方正小标宋_GBK"/>
          <w:color w:val="auto"/>
          <w:w w:val="95"/>
          <w:highlight w:val="none"/>
          <w:u w:val="none"/>
        </w:rPr>
        <w:fldChar w:fldCharType="end"/>
      </w:r>
    </w:p>
    <w:p w14:paraId="513475D7">
      <w:pPr>
        <w:pStyle w:val="12"/>
        <w:tabs>
          <w:tab w:val="right" w:leader="dot" w:pos="8720"/>
        </w:tabs>
        <w:rPr>
          <w:rStyle w:val="20"/>
          <w:rFonts w:ascii="Times New Roman" w:hAnsi="Times New Roman" w:eastAsia="方正小标宋_GBK"/>
          <w:color w:val="auto"/>
          <w:w w:val="95"/>
          <w:highlight w:val="none"/>
          <w:u w:val="none"/>
        </w:rPr>
      </w:pPr>
      <w:r>
        <w:rPr>
          <w:highlight w:val="none"/>
        </w:rPr>
        <w:fldChar w:fldCharType="begin"/>
      </w:r>
      <w:r>
        <w:rPr>
          <w:highlight w:val="none"/>
        </w:rPr>
        <w:instrText xml:space="preserve"> HYPERLINK \l "_Toc162856088" </w:instrText>
      </w:r>
      <w:r>
        <w:rPr>
          <w:highlight w:val="none"/>
        </w:rPr>
        <w:fldChar w:fldCharType="separate"/>
      </w:r>
      <w:r>
        <w:rPr>
          <w:rStyle w:val="20"/>
          <w:rFonts w:hint="eastAsia" w:ascii="Times New Roman" w:hAnsi="Times New Roman" w:eastAsia="方正小标宋_GBK"/>
          <w:color w:val="auto"/>
          <w:w w:val="95"/>
          <w:highlight w:val="none"/>
          <w:u w:val="none"/>
        </w:rPr>
        <w:t>第四部分</w:t>
      </w:r>
      <w:r>
        <w:rPr>
          <w:rStyle w:val="20"/>
          <w:rFonts w:ascii="Times New Roman" w:hAnsi="Times New Roman" w:eastAsia="方正小标宋_GBK"/>
          <w:color w:val="auto"/>
          <w:w w:val="95"/>
          <w:highlight w:val="none"/>
          <w:u w:val="none"/>
        </w:rPr>
        <w:t xml:space="preserve">  </w:t>
      </w:r>
      <w:r>
        <w:rPr>
          <w:rStyle w:val="20"/>
          <w:rFonts w:hint="eastAsia" w:ascii="Times New Roman" w:hAnsi="Times New Roman" w:eastAsia="方正小标宋_GBK"/>
          <w:color w:val="auto"/>
          <w:w w:val="95"/>
          <w:highlight w:val="none"/>
          <w:u w:val="none"/>
        </w:rPr>
        <w:t>项目需求</w:t>
      </w:r>
      <w:r>
        <w:rPr>
          <w:rStyle w:val="20"/>
          <w:rFonts w:ascii="Times New Roman" w:hAnsi="Times New Roman" w:eastAsia="方正小标宋_GBK"/>
          <w:color w:val="auto"/>
          <w:w w:val="95"/>
          <w:highlight w:val="none"/>
          <w:u w:val="none"/>
        </w:rPr>
        <w:tab/>
      </w:r>
      <w:r>
        <w:rPr>
          <w:rStyle w:val="20"/>
          <w:rFonts w:ascii="Times New Roman" w:hAnsi="Times New Roman" w:eastAsia="方正小标宋_GBK"/>
          <w:color w:val="auto"/>
          <w:w w:val="95"/>
          <w:highlight w:val="none"/>
          <w:u w:val="none"/>
        </w:rPr>
        <w:fldChar w:fldCharType="begin"/>
      </w:r>
      <w:r>
        <w:rPr>
          <w:rStyle w:val="20"/>
          <w:rFonts w:ascii="Times New Roman" w:hAnsi="Times New Roman" w:eastAsia="方正小标宋_GBK"/>
          <w:color w:val="auto"/>
          <w:w w:val="95"/>
          <w:highlight w:val="none"/>
          <w:u w:val="none"/>
        </w:rPr>
        <w:instrText xml:space="preserve"> PAGEREF _Toc162856088 \h </w:instrText>
      </w:r>
      <w:r>
        <w:rPr>
          <w:rStyle w:val="20"/>
          <w:rFonts w:ascii="Times New Roman" w:hAnsi="Times New Roman" w:eastAsia="方正小标宋_GBK"/>
          <w:color w:val="auto"/>
          <w:w w:val="95"/>
          <w:highlight w:val="none"/>
          <w:u w:val="none"/>
        </w:rPr>
        <w:fldChar w:fldCharType="separate"/>
      </w:r>
      <w:r>
        <w:rPr>
          <w:rStyle w:val="20"/>
          <w:rFonts w:ascii="Times New Roman" w:hAnsi="Times New Roman" w:eastAsia="方正小标宋_GBK"/>
          <w:color w:val="auto"/>
          <w:w w:val="95"/>
          <w:highlight w:val="none"/>
          <w:u w:val="none"/>
        </w:rPr>
        <w:t>21</w:t>
      </w:r>
      <w:r>
        <w:rPr>
          <w:rStyle w:val="20"/>
          <w:rFonts w:ascii="Times New Roman" w:hAnsi="Times New Roman" w:eastAsia="方正小标宋_GBK"/>
          <w:color w:val="auto"/>
          <w:w w:val="95"/>
          <w:highlight w:val="none"/>
          <w:u w:val="none"/>
        </w:rPr>
        <w:fldChar w:fldCharType="end"/>
      </w:r>
      <w:r>
        <w:rPr>
          <w:rStyle w:val="20"/>
          <w:rFonts w:ascii="Times New Roman" w:hAnsi="Times New Roman" w:eastAsia="方正小标宋_GBK"/>
          <w:color w:val="auto"/>
          <w:w w:val="95"/>
          <w:highlight w:val="none"/>
          <w:u w:val="none"/>
        </w:rPr>
        <w:fldChar w:fldCharType="end"/>
      </w:r>
    </w:p>
    <w:p w14:paraId="5DF68ADC">
      <w:pPr>
        <w:pStyle w:val="12"/>
        <w:tabs>
          <w:tab w:val="right" w:leader="dot" w:pos="8720"/>
        </w:tabs>
        <w:rPr>
          <w:rStyle w:val="20"/>
          <w:rFonts w:ascii="Times New Roman" w:hAnsi="Times New Roman" w:eastAsia="方正小标宋_GBK"/>
          <w:color w:val="auto"/>
          <w:w w:val="95"/>
          <w:highlight w:val="none"/>
          <w:u w:val="none"/>
        </w:rPr>
      </w:pPr>
      <w:r>
        <w:rPr>
          <w:highlight w:val="none"/>
        </w:rPr>
        <w:fldChar w:fldCharType="begin"/>
      </w:r>
      <w:r>
        <w:rPr>
          <w:highlight w:val="none"/>
        </w:rPr>
        <w:instrText xml:space="preserve"> HYPERLINK \l "_Toc162856089" </w:instrText>
      </w:r>
      <w:r>
        <w:rPr>
          <w:highlight w:val="none"/>
        </w:rPr>
        <w:fldChar w:fldCharType="separate"/>
      </w:r>
      <w:r>
        <w:rPr>
          <w:rStyle w:val="20"/>
          <w:rFonts w:hint="eastAsia" w:ascii="Times New Roman" w:hAnsi="Times New Roman" w:eastAsia="方正小标宋_GBK"/>
          <w:color w:val="auto"/>
          <w:w w:val="95"/>
          <w:highlight w:val="none"/>
          <w:u w:val="none"/>
        </w:rPr>
        <w:t>第五部分</w:t>
      </w:r>
      <w:r>
        <w:rPr>
          <w:rStyle w:val="20"/>
          <w:rFonts w:ascii="Times New Roman" w:hAnsi="Times New Roman" w:eastAsia="方正小标宋_GBK"/>
          <w:color w:val="auto"/>
          <w:w w:val="95"/>
          <w:highlight w:val="none"/>
          <w:u w:val="none"/>
        </w:rPr>
        <w:t xml:space="preserve">  </w:t>
      </w:r>
      <w:r>
        <w:rPr>
          <w:rStyle w:val="20"/>
          <w:rFonts w:hint="eastAsia" w:ascii="Times New Roman" w:hAnsi="Times New Roman" w:eastAsia="方正小标宋_GBK"/>
          <w:color w:val="auto"/>
          <w:w w:val="95"/>
          <w:highlight w:val="none"/>
          <w:u w:val="none"/>
        </w:rPr>
        <w:t>响应文件的组成和格式</w:t>
      </w:r>
      <w:r>
        <w:rPr>
          <w:rStyle w:val="20"/>
          <w:rFonts w:ascii="Times New Roman" w:hAnsi="Times New Roman" w:eastAsia="方正小标宋_GBK"/>
          <w:color w:val="auto"/>
          <w:w w:val="95"/>
          <w:highlight w:val="none"/>
          <w:u w:val="none"/>
        </w:rPr>
        <w:tab/>
      </w:r>
      <w:r>
        <w:rPr>
          <w:rStyle w:val="20"/>
          <w:rFonts w:ascii="Times New Roman" w:hAnsi="Times New Roman" w:eastAsia="方正小标宋_GBK"/>
          <w:color w:val="auto"/>
          <w:w w:val="95"/>
          <w:highlight w:val="none"/>
          <w:u w:val="none"/>
        </w:rPr>
        <w:fldChar w:fldCharType="begin"/>
      </w:r>
      <w:r>
        <w:rPr>
          <w:rStyle w:val="20"/>
          <w:rFonts w:ascii="Times New Roman" w:hAnsi="Times New Roman" w:eastAsia="方正小标宋_GBK"/>
          <w:color w:val="auto"/>
          <w:w w:val="95"/>
          <w:highlight w:val="none"/>
          <w:u w:val="none"/>
        </w:rPr>
        <w:instrText xml:space="preserve"> PAGEREF _Toc162856089 \h </w:instrText>
      </w:r>
      <w:r>
        <w:rPr>
          <w:rStyle w:val="20"/>
          <w:rFonts w:ascii="Times New Roman" w:hAnsi="Times New Roman" w:eastAsia="方正小标宋_GBK"/>
          <w:color w:val="auto"/>
          <w:w w:val="95"/>
          <w:highlight w:val="none"/>
          <w:u w:val="none"/>
        </w:rPr>
        <w:fldChar w:fldCharType="separate"/>
      </w:r>
      <w:r>
        <w:rPr>
          <w:rStyle w:val="20"/>
          <w:rFonts w:ascii="Times New Roman" w:hAnsi="Times New Roman" w:eastAsia="方正小标宋_GBK"/>
          <w:color w:val="auto"/>
          <w:w w:val="95"/>
          <w:highlight w:val="none"/>
          <w:u w:val="none"/>
        </w:rPr>
        <w:t>34</w:t>
      </w:r>
      <w:r>
        <w:rPr>
          <w:rStyle w:val="20"/>
          <w:rFonts w:ascii="Times New Roman" w:hAnsi="Times New Roman" w:eastAsia="方正小标宋_GBK"/>
          <w:color w:val="auto"/>
          <w:w w:val="95"/>
          <w:highlight w:val="none"/>
          <w:u w:val="none"/>
        </w:rPr>
        <w:fldChar w:fldCharType="end"/>
      </w:r>
      <w:r>
        <w:rPr>
          <w:rStyle w:val="20"/>
          <w:rFonts w:ascii="Times New Roman" w:hAnsi="Times New Roman" w:eastAsia="方正小标宋_GBK"/>
          <w:color w:val="auto"/>
          <w:w w:val="95"/>
          <w:highlight w:val="none"/>
          <w:u w:val="none"/>
        </w:rPr>
        <w:fldChar w:fldCharType="end"/>
      </w:r>
    </w:p>
    <w:p w14:paraId="47D01CF2">
      <w:pPr>
        <w:pStyle w:val="24"/>
        <w:widowControl w:val="0"/>
        <w:tabs>
          <w:tab w:val="left" w:pos="1441"/>
        </w:tabs>
        <w:spacing w:before="0" w:beforeAutospacing="0" w:after="0" w:afterAutospacing="0" w:line="480" w:lineRule="auto"/>
        <w:ind w:left="2160" w:hanging="1440"/>
        <w:jc w:val="both"/>
        <w:rPr>
          <w:rFonts w:ascii="黑体" w:eastAsia="黑体" w:cs="黑体"/>
          <w:color w:val="000000"/>
          <w:sz w:val="36"/>
          <w:szCs w:val="36"/>
          <w:highlight w:val="none"/>
        </w:rPr>
      </w:pPr>
      <w:r>
        <w:rPr>
          <w:rStyle w:val="20"/>
          <w:rFonts w:ascii="Times New Roman" w:hAnsi="Times New Roman" w:eastAsia="方正小标宋_GBK" w:cstheme="minorBidi"/>
          <w:color w:val="auto"/>
          <w:w w:val="95"/>
          <w:sz w:val="21"/>
          <w:highlight w:val="none"/>
          <w:u w:val="none"/>
        </w:rPr>
        <w:fldChar w:fldCharType="end"/>
      </w:r>
    </w:p>
    <w:p w14:paraId="60DDB574">
      <w:pPr>
        <w:pStyle w:val="24"/>
        <w:widowControl w:val="0"/>
        <w:tabs>
          <w:tab w:val="left" w:pos="1441"/>
        </w:tabs>
        <w:spacing w:before="0" w:beforeAutospacing="0" w:after="0" w:afterAutospacing="0" w:line="480" w:lineRule="auto"/>
        <w:ind w:left="2160" w:hanging="1440"/>
        <w:jc w:val="both"/>
        <w:rPr>
          <w:rFonts w:ascii="黑体" w:eastAsia="黑体" w:cs="黑体"/>
          <w:color w:val="000000"/>
          <w:sz w:val="36"/>
          <w:szCs w:val="36"/>
          <w:highlight w:val="none"/>
        </w:rPr>
      </w:pPr>
    </w:p>
    <w:p w14:paraId="1B2E5B6F">
      <w:pPr>
        <w:pStyle w:val="24"/>
        <w:widowControl w:val="0"/>
        <w:tabs>
          <w:tab w:val="left" w:pos="1441"/>
        </w:tabs>
        <w:spacing w:before="0" w:beforeAutospacing="0" w:after="0" w:afterAutospacing="0" w:line="480" w:lineRule="auto"/>
        <w:ind w:left="2160" w:hanging="1440"/>
        <w:jc w:val="both"/>
        <w:rPr>
          <w:rFonts w:ascii="黑体" w:eastAsia="黑体" w:cs="黑体"/>
          <w:color w:val="000000"/>
          <w:sz w:val="36"/>
          <w:szCs w:val="36"/>
          <w:highlight w:val="none"/>
        </w:rPr>
      </w:pPr>
    </w:p>
    <w:p w14:paraId="352655A0">
      <w:pPr>
        <w:pStyle w:val="24"/>
        <w:widowControl w:val="0"/>
        <w:spacing w:before="120" w:beforeAutospacing="0" w:after="120" w:afterAutospacing="0" w:line="500" w:lineRule="exact"/>
        <w:jc w:val="center"/>
        <w:rPr>
          <w:rFonts w:ascii="黑体" w:hAnsi="黑体" w:eastAsia="黑体" w:cs="黑体"/>
          <w:bCs/>
          <w:color w:val="000000"/>
          <w:spacing w:val="15"/>
          <w:sz w:val="36"/>
          <w:szCs w:val="36"/>
          <w:highlight w:val="none"/>
        </w:rPr>
      </w:pPr>
    </w:p>
    <w:p w14:paraId="5446FE82">
      <w:pPr>
        <w:pStyle w:val="24"/>
        <w:widowControl w:val="0"/>
        <w:spacing w:before="120" w:beforeAutospacing="0" w:after="120" w:afterAutospacing="0" w:line="500" w:lineRule="exact"/>
        <w:jc w:val="center"/>
        <w:rPr>
          <w:rFonts w:ascii="黑体" w:hAnsi="黑体" w:eastAsia="黑体" w:cs="黑体"/>
          <w:bCs/>
          <w:color w:val="000000"/>
          <w:spacing w:val="15"/>
          <w:sz w:val="36"/>
          <w:szCs w:val="36"/>
          <w:highlight w:val="none"/>
        </w:rPr>
        <w:sectPr>
          <w:footerReference r:id="rId3" w:type="default"/>
          <w:pgSz w:w="11906" w:h="16838"/>
          <w:pgMar w:top="1985" w:right="1588" w:bottom="1701" w:left="1588" w:header="851" w:footer="992" w:gutter="0"/>
          <w:pgNumType w:start="1"/>
          <w:cols w:space="425" w:num="1"/>
          <w:docGrid w:type="lines" w:linePitch="312" w:charSpace="0"/>
        </w:sectPr>
      </w:pPr>
    </w:p>
    <w:p w14:paraId="39F60F08">
      <w:pPr>
        <w:pStyle w:val="13"/>
        <w:widowControl/>
        <w:spacing w:line="640" w:lineRule="exact"/>
        <w:jc w:val="center"/>
        <w:rPr>
          <w:rFonts w:ascii="Times New Roman" w:hAnsi="Times New Roman" w:eastAsia="方正小标宋_GBK"/>
          <w:color w:val="000000"/>
          <w:w w:val="95"/>
          <w:sz w:val="44"/>
          <w:szCs w:val="44"/>
          <w:highlight w:val="none"/>
        </w:rPr>
      </w:pPr>
      <w:r>
        <w:rPr>
          <w:rFonts w:hint="eastAsia" w:ascii="Times New Roman" w:hAnsi="Times New Roman" w:eastAsia="方正小标宋_GBK"/>
          <w:color w:val="000000"/>
          <w:w w:val="95"/>
          <w:sz w:val="44"/>
          <w:szCs w:val="44"/>
          <w:highlight w:val="none"/>
        </w:rPr>
        <w:t>盐城幼儿师范高等专科学校</w:t>
      </w:r>
    </w:p>
    <w:p w14:paraId="3A0A2D26">
      <w:pPr>
        <w:pStyle w:val="13"/>
        <w:widowControl/>
        <w:spacing w:line="640" w:lineRule="exact"/>
        <w:jc w:val="center"/>
        <w:outlineLvl w:val="0"/>
        <w:rPr>
          <w:rFonts w:hint="eastAsia" w:ascii="Times New Roman" w:hAnsi="Times New Roman" w:eastAsia="方正小标宋_GBK" w:cs="Helvetica"/>
          <w:color w:val="212529"/>
          <w:w w:val="95"/>
          <w:sz w:val="44"/>
          <w:szCs w:val="44"/>
          <w:highlight w:val="none"/>
          <w:lang w:eastAsia="zh-CN"/>
        </w:rPr>
      </w:pPr>
      <w:bookmarkStart w:id="0" w:name="_Toc162856085"/>
      <w:r>
        <w:rPr>
          <w:rFonts w:hint="eastAsia" w:ascii="Times New Roman" w:hAnsi="Times New Roman" w:eastAsia="方正小标宋_GBK"/>
          <w:color w:val="000000"/>
          <w:w w:val="95"/>
          <w:sz w:val="44"/>
          <w:szCs w:val="44"/>
          <w:highlight w:val="none"/>
          <w:lang w:eastAsia="zh-CN"/>
        </w:rPr>
        <w:t>艺术中心音乐教室、公共教室、钢琴教室窗帘采购安装项目</w:t>
      </w:r>
      <w:r>
        <w:rPr>
          <w:rFonts w:hint="eastAsia" w:ascii="Times New Roman" w:hAnsi="Times New Roman" w:eastAsia="方正小标宋_GBK"/>
          <w:color w:val="000000"/>
          <w:w w:val="95"/>
          <w:sz w:val="44"/>
          <w:szCs w:val="44"/>
          <w:highlight w:val="none"/>
        </w:rPr>
        <w:t>采购公告</w:t>
      </w:r>
      <w:bookmarkEnd w:id="0"/>
      <w:r>
        <w:rPr>
          <w:rFonts w:hint="eastAsia" w:ascii="Times New Roman" w:hAnsi="Times New Roman" w:eastAsia="方正小标宋_GBK"/>
          <w:color w:val="000000"/>
          <w:w w:val="95"/>
          <w:sz w:val="44"/>
          <w:szCs w:val="44"/>
          <w:highlight w:val="none"/>
          <w:lang w:eastAsia="zh-CN"/>
        </w:rPr>
        <w:t>（</w:t>
      </w:r>
      <w:r>
        <w:rPr>
          <w:rFonts w:hint="eastAsia" w:ascii="Times New Roman" w:hAnsi="Times New Roman" w:eastAsia="方正小标宋_GBK"/>
          <w:color w:val="000000"/>
          <w:w w:val="95"/>
          <w:sz w:val="44"/>
          <w:szCs w:val="44"/>
          <w:highlight w:val="none"/>
          <w:lang w:val="en-US" w:eastAsia="zh-CN"/>
        </w:rPr>
        <w:t>二次</w:t>
      </w:r>
      <w:r>
        <w:rPr>
          <w:rFonts w:hint="eastAsia" w:ascii="Times New Roman" w:hAnsi="Times New Roman" w:eastAsia="方正小标宋_GBK"/>
          <w:color w:val="000000"/>
          <w:w w:val="95"/>
          <w:sz w:val="44"/>
          <w:szCs w:val="44"/>
          <w:highlight w:val="none"/>
          <w:lang w:eastAsia="zh-CN"/>
        </w:rPr>
        <w:t>）</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46"/>
      </w:tblGrid>
      <w:tr w14:paraId="701770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84" w:type="dxa"/>
          </w:tcPr>
          <w:p w14:paraId="2A912253">
            <w:pPr>
              <w:widowControl/>
              <w:shd w:val="clear" w:color="auto" w:fill="FFFFFF"/>
              <w:spacing w:line="520" w:lineRule="atLeast"/>
              <w:ind w:firstLine="482"/>
              <w:jc w:val="left"/>
              <w:rPr>
                <w:rFonts w:ascii="Times New Roman" w:hAnsi="Times New Roman" w:eastAsia="微软雅黑" w:cs="微软雅黑"/>
                <w:color w:val="444444"/>
                <w:sz w:val="16"/>
                <w:szCs w:val="16"/>
                <w:highlight w:val="none"/>
              </w:rPr>
            </w:pPr>
            <w:r>
              <w:rPr>
                <w:rFonts w:hint="eastAsia" w:ascii="Times New Roman" w:hAnsi="Times New Roman" w:eastAsia="宋体" w:cs="宋体"/>
                <w:b/>
                <w:bCs/>
                <w:color w:val="444444"/>
                <w:kern w:val="0"/>
                <w:sz w:val="24"/>
                <w:highlight w:val="none"/>
                <w:shd w:val="clear" w:color="auto" w:fill="FFFFFF"/>
                <w:lang w:bidi="ar"/>
              </w:rPr>
              <w:t>项目概况</w:t>
            </w:r>
          </w:p>
          <w:p w14:paraId="4E561003">
            <w:pPr>
              <w:spacing w:line="360" w:lineRule="auto"/>
              <w:ind w:firstLine="540"/>
              <w:rPr>
                <w:rFonts w:ascii="Times New Roman" w:hAnsi="Times New Roman"/>
                <w:highlight w:val="none"/>
              </w:rPr>
            </w:pPr>
            <w:bookmarkStart w:id="1" w:name="_Toc35393629"/>
            <w:r>
              <w:rPr>
                <w:rFonts w:hint="eastAsia" w:ascii="Times New Roman" w:hAnsi="Times New Roman" w:eastAsia="宋体" w:cs="宋体"/>
                <w:color w:val="333333"/>
                <w:kern w:val="0"/>
                <w:sz w:val="24"/>
                <w:highlight w:val="none"/>
                <w:u w:val="single"/>
                <w:shd w:val="clear" w:color="auto" w:fill="FFFFFF"/>
                <w:lang w:bidi="ar"/>
              </w:rPr>
              <w:t>盐城幼儿师范高等专科学校</w:t>
            </w:r>
            <w:r>
              <w:rPr>
                <w:rFonts w:hint="eastAsia" w:ascii="Times New Roman" w:hAnsi="Times New Roman" w:eastAsia="宋体" w:cs="宋体"/>
                <w:color w:val="333333"/>
                <w:kern w:val="0"/>
                <w:sz w:val="24"/>
                <w:highlight w:val="none"/>
                <w:u w:val="single"/>
                <w:shd w:val="clear" w:color="auto" w:fill="FFFFFF"/>
                <w:lang w:eastAsia="zh-CN" w:bidi="ar"/>
              </w:rPr>
              <w:t>艺术中心音乐教室、公共教室、钢琴教室窗帘采购安装项目</w:t>
            </w:r>
            <w:r>
              <w:rPr>
                <w:rFonts w:hint="eastAsia" w:ascii="Times New Roman" w:hAnsi="Times New Roman" w:eastAsia="宋体" w:cs="宋体"/>
                <w:color w:val="333333"/>
                <w:kern w:val="0"/>
                <w:sz w:val="24"/>
                <w:highlight w:val="none"/>
                <w:shd w:val="clear" w:color="auto" w:fill="FFFFFF"/>
                <w:lang w:bidi="ar"/>
              </w:rPr>
              <w:t>的潜在供应商应在</w:t>
            </w:r>
            <w:r>
              <w:rPr>
                <w:rFonts w:hint="eastAsia" w:ascii="Times New Roman" w:hAnsi="Times New Roman" w:eastAsia="宋体" w:cs="宋体"/>
                <w:color w:val="333333"/>
                <w:kern w:val="0"/>
                <w:sz w:val="24"/>
                <w:highlight w:val="none"/>
                <w:u w:val="single"/>
                <w:shd w:val="clear" w:color="auto" w:fill="FFFFFF"/>
                <w:lang w:bidi="ar"/>
              </w:rPr>
              <w:t>盐城幼儿师范高等专科学校”网站【https://www.yyz.edu.cn/main.htm】</w:t>
            </w:r>
            <w:r>
              <w:rPr>
                <w:rFonts w:hint="eastAsia" w:ascii="Times New Roman" w:hAnsi="Times New Roman" w:eastAsia="宋体" w:cs="宋体"/>
                <w:color w:val="333333"/>
                <w:kern w:val="0"/>
                <w:sz w:val="24"/>
                <w:highlight w:val="none"/>
                <w:shd w:val="clear" w:color="auto" w:fill="FFFFFF"/>
                <w:lang w:bidi="ar"/>
              </w:rPr>
              <w:t>获取采购文件，并于</w:t>
            </w:r>
            <w:r>
              <w:rPr>
                <w:rFonts w:hint="eastAsia" w:ascii="Times New Roman" w:hAnsi="Times New Roman" w:eastAsia="宋体" w:cs="宋体"/>
                <w:color w:val="333333"/>
                <w:kern w:val="0"/>
                <w:sz w:val="24"/>
                <w:highlight w:val="green"/>
                <w:u w:val="single"/>
                <w:shd w:val="clear" w:color="auto" w:fill="FFFFFF"/>
                <w:lang w:bidi="ar"/>
              </w:rPr>
              <w:t>2024年</w:t>
            </w:r>
            <w:r>
              <w:rPr>
                <w:rFonts w:hint="eastAsia" w:ascii="Times New Roman" w:hAnsi="Times New Roman" w:eastAsia="宋体" w:cs="宋体"/>
                <w:color w:val="333333"/>
                <w:kern w:val="0"/>
                <w:sz w:val="24"/>
                <w:highlight w:val="green"/>
                <w:u w:val="single"/>
                <w:shd w:val="clear" w:color="auto" w:fill="FFFFFF"/>
                <w:lang w:val="en-US" w:eastAsia="zh-CN" w:bidi="ar"/>
              </w:rPr>
              <w:t>6</w:t>
            </w:r>
            <w:r>
              <w:rPr>
                <w:rFonts w:hint="eastAsia" w:ascii="Times New Roman" w:hAnsi="Times New Roman" w:eastAsia="宋体" w:cs="宋体"/>
                <w:color w:val="333333"/>
                <w:kern w:val="0"/>
                <w:sz w:val="24"/>
                <w:highlight w:val="green"/>
                <w:u w:val="single"/>
                <w:shd w:val="clear" w:color="auto" w:fill="FFFFFF"/>
                <w:lang w:bidi="ar"/>
              </w:rPr>
              <w:t xml:space="preserve"> 月</w:t>
            </w:r>
            <w:r>
              <w:rPr>
                <w:rFonts w:hint="eastAsia" w:ascii="Times New Roman" w:hAnsi="Times New Roman" w:eastAsia="宋体" w:cs="宋体"/>
                <w:color w:val="333333"/>
                <w:kern w:val="0"/>
                <w:sz w:val="24"/>
                <w:highlight w:val="green"/>
                <w:u w:val="single"/>
                <w:shd w:val="clear" w:color="auto" w:fill="FFFFFF"/>
                <w:lang w:val="en-US" w:eastAsia="zh-CN" w:bidi="ar"/>
              </w:rPr>
              <w:t xml:space="preserve"> 20</w:t>
            </w:r>
            <w:r>
              <w:rPr>
                <w:rFonts w:hint="eastAsia" w:ascii="Times New Roman" w:hAnsi="Times New Roman" w:eastAsia="宋体" w:cs="宋体"/>
                <w:color w:val="333333"/>
                <w:kern w:val="0"/>
                <w:sz w:val="24"/>
                <w:highlight w:val="green"/>
                <w:u w:val="single"/>
                <w:shd w:val="clear" w:color="auto" w:fill="FFFFFF"/>
                <w:lang w:bidi="ar"/>
              </w:rPr>
              <w:t xml:space="preserve"> 日</w:t>
            </w:r>
            <w:r>
              <w:rPr>
                <w:rFonts w:hint="eastAsia" w:ascii="Times New Roman" w:hAnsi="Times New Roman" w:cs="宋体"/>
                <w:color w:val="333333"/>
                <w:kern w:val="0"/>
                <w:sz w:val="24"/>
                <w:highlight w:val="green"/>
                <w:u w:val="single"/>
                <w:lang w:bidi="ar"/>
              </w:rPr>
              <w:t>15点00</w:t>
            </w:r>
            <w:r>
              <w:rPr>
                <w:rFonts w:hint="eastAsia" w:ascii="Times New Roman" w:hAnsi="Times New Roman" w:eastAsia="宋体" w:cs="宋体"/>
                <w:color w:val="333333"/>
                <w:kern w:val="0"/>
                <w:sz w:val="24"/>
                <w:highlight w:val="none"/>
                <w:u w:val="single"/>
                <w:shd w:val="clear" w:color="auto" w:fill="FFFFFF"/>
                <w:lang w:bidi="ar"/>
              </w:rPr>
              <w:t>分</w:t>
            </w:r>
            <w:r>
              <w:rPr>
                <w:rFonts w:hint="eastAsia" w:ascii="Times New Roman" w:hAnsi="Times New Roman" w:eastAsia="宋体" w:cs="宋体"/>
                <w:color w:val="333333"/>
                <w:kern w:val="0"/>
                <w:sz w:val="24"/>
                <w:highlight w:val="none"/>
                <w:shd w:val="clear" w:color="auto" w:fill="FFFFFF"/>
                <w:lang w:bidi="ar"/>
              </w:rPr>
              <w:t>（北京时间）前提交响应文件。</w:t>
            </w:r>
            <w:bookmarkEnd w:id="1"/>
          </w:p>
        </w:tc>
      </w:tr>
    </w:tbl>
    <w:p w14:paraId="666D9CED">
      <w:pPr>
        <w:widowControl/>
        <w:spacing w:line="440" w:lineRule="exact"/>
        <w:ind w:firstLine="482" w:firstLineChars="200"/>
        <w:jc w:val="left"/>
        <w:rPr>
          <w:rFonts w:ascii="Times New Roman" w:hAnsi="Times New Roman" w:cs="宋体"/>
          <w:color w:val="333333"/>
          <w:sz w:val="24"/>
          <w:highlight w:val="none"/>
        </w:rPr>
      </w:pPr>
      <w:bookmarkStart w:id="2" w:name="_Toc28359012"/>
      <w:r>
        <w:rPr>
          <w:rFonts w:hint="eastAsia" w:ascii="Times New Roman" w:hAnsi="Times New Roman" w:cs="宋体"/>
          <w:b/>
          <w:bCs/>
          <w:color w:val="333333"/>
          <w:kern w:val="0"/>
          <w:sz w:val="24"/>
          <w:highlight w:val="none"/>
          <w:lang w:bidi="ar"/>
        </w:rPr>
        <w:t>一、项目基本情况</w:t>
      </w:r>
    </w:p>
    <w:p w14:paraId="361C126A">
      <w:pPr>
        <w:ind w:firstLine="480" w:firstLineChars="200"/>
        <w:rPr>
          <w:rFonts w:hint="eastAsia" w:ascii="宋体" w:eastAsia="宋体"/>
          <w:b/>
          <w:color w:val="000000"/>
          <w:sz w:val="30"/>
          <w:szCs w:val="30"/>
          <w:highlight w:val="none"/>
          <w:lang w:val="en-US" w:eastAsia="zh-CN"/>
        </w:rPr>
      </w:pPr>
      <w:r>
        <w:rPr>
          <w:rFonts w:hint="eastAsia" w:ascii="Times New Roman" w:hAnsi="Times New Roman" w:cs="宋体"/>
          <w:color w:val="333333"/>
          <w:kern w:val="0"/>
          <w:sz w:val="24"/>
          <w:highlight w:val="none"/>
          <w:lang w:bidi="ar"/>
        </w:rPr>
        <w:t>1. 项目编号</w:t>
      </w:r>
      <w:r>
        <w:rPr>
          <w:rFonts w:hint="eastAsia" w:ascii="Times New Roman" w:hAnsi="Times New Roman" w:cs="宋体"/>
          <w:color w:val="333333"/>
          <w:kern w:val="0"/>
          <w:sz w:val="24"/>
          <w:highlight w:val="none"/>
          <w:shd w:val="clear" w:color="auto" w:fill="FFFFFF"/>
          <w:lang w:bidi="ar"/>
        </w:rPr>
        <w:t>：YCYZ2024</w:t>
      </w:r>
      <w:r>
        <w:rPr>
          <w:rFonts w:hint="eastAsia" w:ascii="Times New Roman" w:hAnsi="Times New Roman" w:cs="宋体"/>
          <w:color w:val="333333"/>
          <w:kern w:val="0"/>
          <w:sz w:val="24"/>
          <w:highlight w:val="none"/>
          <w:shd w:val="clear" w:color="auto" w:fill="FFFFFF"/>
          <w:lang w:val="en-US" w:eastAsia="zh-CN" w:bidi="ar"/>
        </w:rPr>
        <w:t>HW</w:t>
      </w:r>
      <w:r>
        <w:rPr>
          <w:rFonts w:hint="eastAsia" w:ascii="Times New Roman" w:hAnsi="Times New Roman" w:cs="宋体"/>
          <w:color w:val="333333"/>
          <w:kern w:val="0"/>
          <w:sz w:val="24"/>
          <w:highlight w:val="none"/>
          <w:shd w:val="clear" w:color="auto" w:fill="FFFFFF"/>
          <w:lang w:bidi="ar"/>
        </w:rPr>
        <w:t>00</w:t>
      </w:r>
      <w:r>
        <w:rPr>
          <w:rFonts w:hint="eastAsia" w:ascii="Times New Roman" w:hAnsi="Times New Roman" w:cs="宋体"/>
          <w:color w:val="333333"/>
          <w:kern w:val="0"/>
          <w:sz w:val="24"/>
          <w:highlight w:val="none"/>
          <w:shd w:val="clear" w:color="auto" w:fill="FFFFFF"/>
          <w:lang w:val="en-US" w:eastAsia="zh-CN" w:bidi="ar"/>
        </w:rPr>
        <w:t>1</w:t>
      </w:r>
    </w:p>
    <w:p w14:paraId="5D1998A7">
      <w:pPr>
        <w:widowControl/>
        <w:spacing w:line="440" w:lineRule="exact"/>
        <w:ind w:firstLine="480" w:firstLineChars="200"/>
        <w:jc w:val="left"/>
        <w:rPr>
          <w:rFonts w:hint="eastAsia" w:ascii="Times New Roman" w:hAnsi="Times New Roman" w:cs="宋体" w:eastAsiaTheme="minorEastAsia"/>
          <w:color w:val="333333"/>
          <w:kern w:val="0"/>
          <w:sz w:val="24"/>
          <w:highlight w:val="none"/>
          <w:u w:val="single"/>
          <w:shd w:val="clear" w:color="auto" w:fill="FFFFFF"/>
          <w:lang w:eastAsia="zh-CN" w:bidi="ar"/>
        </w:rPr>
      </w:pPr>
      <w:r>
        <w:rPr>
          <w:rFonts w:hint="eastAsia" w:ascii="Times New Roman" w:hAnsi="Times New Roman" w:cs="宋体"/>
          <w:color w:val="333333"/>
          <w:kern w:val="0"/>
          <w:sz w:val="24"/>
          <w:highlight w:val="none"/>
          <w:shd w:val="clear" w:color="auto" w:fill="FFFFFF"/>
          <w:lang w:val="en-US" w:eastAsia="zh-CN" w:bidi="ar"/>
        </w:rPr>
        <w:t xml:space="preserve"> </w:t>
      </w:r>
      <w:r>
        <w:rPr>
          <w:rFonts w:hint="eastAsia" w:ascii="Times New Roman" w:hAnsi="Times New Roman" w:cs="宋体"/>
          <w:color w:val="333333"/>
          <w:kern w:val="0"/>
          <w:sz w:val="24"/>
          <w:highlight w:val="none"/>
          <w:shd w:val="clear" w:color="auto" w:fill="FFFFFF"/>
          <w:lang w:bidi="ar"/>
        </w:rPr>
        <w:t xml:space="preserve"> </w:t>
      </w:r>
      <w:r>
        <w:rPr>
          <w:rFonts w:hint="eastAsia" w:ascii="Times New Roman" w:hAnsi="Times New Roman" w:cs="宋体"/>
          <w:color w:val="333333"/>
          <w:kern w:val="0"/>
          <w:sz w:val="24"/>
          <w:highlight w:val="none"/>
          <w:lang w:bidi="ar"/>
        </w:rPr>
        <w:t>2. 项目名称：</w:t>
      </w:r>
      <w:r>
        <w:rPr>
          <w:rFonts w:hint="eastAsia" w:ascii="Times New Roman" w:hAnsi="Times New Roman" w:cs="宋体"/>
          <w:color w:val="333333"/>
          <w:kern w:val="0"/>
          <w:sz w:val="24"/>
          <w:highlight w:val="none"/>
          <w:shd w:val="clear" w:color="auto" w:fill="FFFFFF"/>
          <w:lang w:bidi="ar"/>
        </w:rPr>
        <w:t>盐城幼儿师范高等专科学校</w:t>
      </w:r>
      <w:r>
        <w:rPr>
          <w:rFonts w:hint="eastAsia" w:ascii="Times New Roman" w:hAnsi="Times New Roman" w:cs="宋体"/>
          <w:color w:val="333333"/>
          <w:kern w:val="0"/>
          <w:sz w:val="24"/>
          <w:highlight w:val="none"/>
          <w:shd w:val="clear" w:color="auto" w:fill="FFFFFF"/>
          <w:lang w:eastAsia="zh-CN" w:bidi="ar"/>
        </w:rPr>
        <w:t>艺术中心音乐教室、公共教室、钢琴教室窗帘采购安装项目</w:t>
      </w:r>
    </w:p>
    <w:p w14:paraId="57885E4C">
      <w:pPr>
        <w:widowControl/>
        <w:spacing w:line="440" w:lineRule="exact"/>
        <w:ind w:firstLine="480" w:firstLineChars="200"/>
        <w:jc w:val="left"/>
        <w:rPr>
          <w:rFonts w:ascii="Times New Roman" w:hAnsi="Times New Roman" w:cs="宋体"/>
          <w:color w:val="333333"/>
          <w:sz w:val="24"/>
          <w:highlight w:val="none"/>
        </w:rPr>
      </w:pPr>
      <w:r>
        <w:rPr>
          <w:rFonts w:hint="eastAsia" w:ascii="Times New Roman" w:hAnsi="Times New Roman" w:cs="宋体"/>
          <w:color w:val="333333"/>
          <w:kern w:val="0"/>
          <w:sz w:val="24"/>
          <w:highlight w:val="none"/>
          <w:lang w:bidi="ar"/>
        </w:rPr>
        <w:t>3. 采购方式：询价</w:t>
      </w:r>
    </w:p>
    <w:p w14:paraId="3F866841">
      <w:pPr>
        <w:widowControl/>
        <w:spacing w:line="440" w:lineRule="exact"/>
        <w:ind w:firstLine="480" w:firstLineChars="200"/>
        <w:jc w:val="left"/>
        <w:rPr>
          <w:rFonts w:ascii="Times New Roman" w:hAnsi="Times New Roman" w:cs="宋体"/>
          <w:color w:val="333333"/>
          <w:sz w:val="24"/>
          <w:highlight w:val="none"/>
        </w:rPr>
      </w:pPr>
      <w:r>
        <w:rPr>
          <w:rFonts w:hint="eastAsia" w:ascii="Times New Roman" w:hAnsi="Times New Roman" w:cs="宋体"/>
          <w:color w:val="333333"/>
          <w:kern w:val="0"/>
          <w:sz w:val="24"/>
          <w:highlight w:val="none"/>
          <w:lang w:bidi="ar"/>
        </w:rPr>
        <w:t>4. 预算金额：</w:t>
      </w:r>
      <w:r>
        <w:rPr>
          <w:rFonts w:hint="eastAsia" w:ascii="Times New Roman" w:hAnsi="Times New Roman" w:cs="宋体"/>
          <w:color w:val="333333"/>
          <w:kern w:val="0"/>
          <w:sz w:val="24"/>
          <w:highlight w:val="none"/>
          <w:lang w:val="en-US" w:eastAsia="zh-CN" w:bidi="ar"/>
        </w:rPr>
        <w:t>9</w:t>
      </w:r>
      <w:r>
        <w:rPr>
          <w:rFonts w:hint="eastAsia" w:ascii="Times New Roman" w:hAnsi="Times New Roman" w:cs="宋体"/>
          <w:color w:val="333333"/>
          <w:kern w:val="0"/>
          <w:sz w:val="24"/>
          <w:highlight w:val="none"/>
          <w:lang w:bidi="ar"/>
        </w:rPr>
        <w:t>万元</w:t>
      </w:r>
    </w:p>
    <w:p w14:paraId="5CD38522">
      <w:pPr>
        <w:widowControl/>
        <w:spacing w:line="440" w:lineRule="exact"/>
        <w:ind w:firstLine="480" w:firstLineChars="200"/>
        <w:jc w:val="left"/>
        <w:rPr>
          <w:rFonts w:ascii="Times New Roman" w:hAnsi="Times New Roman" w:cs="宋体"/>
          <w:color w:val="333333"/>
          <w:sz w:val="24"/>
          <w:highlight w:val="none"/>
        </w:rPr>
      </w:pPr>
      <w:r>
        <w:rPr>
          <w:rFonts w:hint="eastAsia" w:ascii="Times New Roman" w:hAnsi="Times New Roman" w:cs="宋体"/>
          <w:color w:val="333333"/>
          <w:kern w:val="0"/>
          <w:sz w:val="24"/>
          <w:highlight w:val="none"/>
          <w:lang w:bidi="ar"/>
        </w:rPr>
        <w:t>5. 最高限价：</w:t>
      </w:r>
      <w:r>
        <w:rPr>
          <w:rFonts w:hint="eastAsia" w:ascii="Times New Roman" w:hAnsi="Times New Roman" w:cs="宋体"/>
          <w:color w:val="333333"/>
          <w:kern w:val="0"/>
          <w:sz w:val="24"/>
          <w:highlight w:val="none"/>
          <w:lang w:val="en-US" w:eastAsia="zh-CN" w:bidi="ar"/>
        </w:rPr>
        <w:t>9</w:t>
      </w:r>
      <w:r>
        <w:rPr>
          <w:rFonts w:hint="eastAsia" w:ascii="Times New Roman" w:hAnsi="Times New Roman" w:cs="宋体"/>
          <w:color w:val="333333"/>
          <w:kern w:val="0"/>
          <w:sz w:val="24"/>
          <w:highlight w:val="none"/>
          <w:lang w:bidi="ar"/>
        </w:rPr>
        <w:t>万元</w:t>
      </w:r>
    </w:p>
    <w:p w14:paraId="13087939">
      <w:pPr>
        <w:widowControl/>
        <w:spacing w:line="440" w:lineRule="exact"/>
        <w:ind w:firstLine="480" w:firstLineChars="200"/>
        <w:jc w:val="left"/>
        <w:rPr>
          <w:rFonts w:ascii="Times New Roman" w:hAnsi="Times New Roman" w:cs="宋体"/>
          <w:sz w:val="24"/>
          <w:highlight w:val="none"/>
        </w:rPr>
      </w:pPr>
      <w:r>
        <w:rPr>
          <w:rFonts w:hint="eastAsia" w:ascii="Times New Roman" w:hAnsi="Times New Roman" w:cs="宋体"/>
          <w:color w:val="333333"/>
          <w:kern w:val="0"/>
          <w:sz w:val="24"/>
          <w:highlight w:val="none"/>
          <w:lang w:bidi="ar"/>
        </w:rPr>
        <w:t>6. 采购需求：拟对</w:t>
      </w:r>
      <w:r>
        <w:rPr>
          <w:rFonts w:hint="eastAsia" w:ascii="Times New Roman" w:hAnsi="Times New Roman" w:cs="宋体"/>
          <w:sz w:val="24"/>
          <w:highlight w:val="none"/>
        </w:rPr>
        <w:t>盐城幼儿师范高等专科学校</w:t>
      </w:r>
      <w:r>
        <w:rPr>
          <w:rFonts w:hint="eastAsia" w:ascii="宋体" w:hAnsi="宋体" w:cs="宋体"/>
          <w:kern w:val="0"/>
          <w:sz w:val="24"/>
          <w:szCs w:val="24"/>
          <w:lang w:val="en-US" w:eastAsia="zh-CN"/>
        </w:rPr>
        <w:t>艺术中心音乐教室、公共教室、钢琴教室窗帘</w:t>
      </w:r>
      <w:r>
        <w:rPr>
          <w:rFonts w:hint="eastAsia" w:ascii="Times New Roman" w:hAnsi="Times New Roman" w:cs="宋体"/>
          <w:sz w:val="24"/>
          <w:highlight w:val="none"/>
        </w:rPr>
        <w:t>进行</w:t>
      </w:r>
      <w:r>
        <w:rPr>
          <w:rFonts w:hint="eastAsia" w:ascii="宋体" w:hAnsi="宋体" w:cs="宋体"/>
          <w:kern w:val="0"/>
          <w:sz w:val="24"/>
          <w:szCs w:val="24"/>
          <w:lang w:val="en-US" w:eastAsia="zh-CN"/>
        </w:rPr>
        <w:t>采购及安装</w:t>
      </w:r>
      <w:r>
        <w:rPr>
          <w:rFonts w:hint="eastAsia" w:ascii="Times New Roman" w:hAnsi="Times New Roman" w:cs="宋体"/>
          <w:sz w:val="24"/>
          <w:highlight w:val="none"/>
        </w:rPr>
        <w:t>，具体要求详见项目需求。</w:t>
      </w:r>
    </w:p>
    <w:p w14:paraId="64E1ED84">
      <w:pPr>
        <w:spacing w:line="440" w:lineRule="exact"/>
        <w:ind w:firstLine="480" w:firstLineChars="200"/>
        <w:rPr>
          <w:rFonts w:ascii="Times New Roman" w:hAnsi="Times New Roman" w:cs="宋体"/>
          <w:sz w:val="24"/>
          <w:highlight w:val="none"/>
        </w:rPr>
      </w:pPr>
      <w:r>
        <w:rPr>
          <w:rFonts w:hint="eastAsia" w:ascii="Times New Roman" w:hAnsi="Times New Roman" w:cs="宋体"/>
          <w:color w:val="333333"/>
          <w:kern w:val="0"/>
          <w:sz w:val="24"/>
          <w:highlight w:val="none"/>
          <w:lang w:bidi="ar"/>
        </w:rPr>
        <w:t>7. 合同履行期限：</w:t>
      </w:r>
      <w:r>
        <w:rPr>
          <w:rFonts w:hint="eastAsia" w:ascii="Times New Roman" w:hAnsi="Times New Roman" w:cs="宋体"/>
          <w:sz w:val="24"/>
          <w:highlight w:val="none"/>
        </w:rPr>
        <w:t>合同签订之日起</w:t>
      </w:r>
      <w:r>
        <w:rPr>
          <w:rFonts w:hint="eastAsia" w:ascii="Times New Roman" w:hAnsi="Times New Roman" w:cs="宋体"/>
          <w:sz w:val="24"/>
          <w:highlight w:val="none"/>
          <w:lang w:val="en-US" w:eastAsia="zh-CN"/>
        </w:rPr>
        <w:t>20</w:t>
      </w:r>
      <w:r>
        <w:rPr>
          <w:rFonts w:hint="eastAsia" w:ascii="Times New Roman" w:hAnsi="Times New Roman" w:cs="宋体"/>
          <w:sz w:val="24"/>
          <w:highlight w:val="none"/>
        </w:rPr>
        <w:t>日历天内完成供货及</w:t>
      </w:r>
      <w:r>
        <w:rPr>
          <w:rFonts w:hint="eastAsia" w:ascii="Times New Roman" w:hAnsi="Times New Roman" w:cs="宋体"/>
          <w:sz w:val="24"/>
          <w:highlight w:val="none"/>
          <w:lang w:val="en-US" w:eastAsia="zh-CN"/>
        </w:rPr>
        <w:t>安装</w:t>
      </w:r>
      <w:r>
        <w:rPr>
          <w:rFonts w:hint="eastAsia" w:ascii="Times New Roman" w:hAnsi="Times New Roman" w:cs="宋体"/>
          <w:sz w:val="24"/>
          <w:highlight w:val="none"/>
        </w:rPr>
        <w:t>，并通过采购人验收。</w:t>
      </w:r>
    </w:p>
    <w:p w14:paraId="61A9DE7D">
      <w:pPr>
        <w:widowControl/>
        <w:spacing w:line="440" w:lineRule="exact"/>
        <w:ind w:firstLine="480" w:firstLineChars="200"/>
        <w:jc w:val="left"/>
        <w:rPr>
          <w:rFonts w:ascii="Times New Roman" w:hAnsi="Times New Roman" w:cs="宋体"/>
          <w:color w:val="333333"/>
          <w:kern w:val="0"/>
          <w:sz w:val="24"/>
          <w:highlight w:val="none"/>
          <w:lang w:bidi="ar"/>
        </w:rPr>
      </w:pPr>
      <w:r>
        <w:rPr>
          <w:rFonts w:hint="eastAsia" w:ascii="Times New Roman" w:hAnsi="Times New Roman" w:cs="宋体"/>
          <w:color w:val="333333"/>
          <w:kern w:val="0"/>
          <w:sz w:val="24"/>
          <w:highlight w:val="none"/>
          <w:lang w:bidi="ar"/>
        </w:rPr>
        <w:t>8. 质量要求：</w:t>
      </w:r>
      <w:r>
        <w:rPr>
          <w:rFonts w:hint="eastAsia" w:ascii="Times New Roman" w:hAnsi="Times New Roman" w:cs="宋体"/>
          <w:color w:val="333333"/>
          <w:kern w:val="0"/>
          <w:sz w:val="24"/>
          <w:highlight w:val="none"/>
          <w:lang w:val="en-US" w:eastAsia="zh-CN" w:bidi="ar"/>
        </w:rPr>
        <w:t>合格</w:t>
      </w:r>
      <w:r>
        <w:rPr>
          <w:rFonts w:hint="eastAsia" w:ascii="Times New Roman" w:hAnsi="Times New Roman" w:cs="宋体"/>
          <w:color w:val="333333"/>
          <w:kern w:val="0"/>
          <w:sz w:val="24"/>
          <w:highlight w:val="none"/>
          <w:lang w:bidi="ar"/>
        </w:rPr>
        <w:t>。</w:t>
      </w:r>
    </w:p>
    <w:p w14:paraId="00ED7218">
      <w:pPr>
        <w:widowControl/>
        <w:spacing w:line="440" w:lineRule="exact"/>
        <w:ind w:firstLine="480" w:firstLineChars="200"/>
        <w:jc w:val="left"/>
        <w:rPr>
          <w:rFonts w:ascii="Times New Roman" w:hAnsi="Times New Roman" w:cs="宋体"/>
          <w:color w:val="333333"/>
          <w:sz w:val="24"/>
          <w:highlight w:val="none"/>
        </w:rPr>
      </w:pPr>
      <w:r>
        <w:rPr>
          <w:rFonts w:hint="eastAsia" w:ascii="Times New Roman" w:hAnsi="Times New Roman" w:cs="宋体"/>
          <w:color w:val="333333"/>
          <w:kern w:val="0"/>
          <w:sz w:val="24"/>
          <w:highlight w:val="none"/>
          <w:lang w:bidi="ar"/>
        </w:rPr>
        <w:t>9. 本项目</w:t>
      </w:r>
      <w:r>
        <w:rPr>
          <w:rFonts w:hint="eastAsia" w:ascii="Times New Roman" w:hAnsi="Times New Roman" w:cs="宋体"/>
          <w:color w:val="333333"/>
          <w:kern w:val="0"/>
          <w:sz w:val="24"/>
          <w:highlight w:val="none"/>
          <w:u w:val="single"/>
          <w:lang w:bidi="ar"/>
        </w:rPr>
        <w:t>不接受</w:t>
      </w:r>
      <w:r>
        <w:rPr>
          <w:rFonts w:hint="eastAsia" w:ascii="Times New Roman" w:hAnsi="Times New Roman" w:cs="宋体"/>
          <w:color w:val="333333"/>
          <w:kern w:val="0"/>
          <w:sz w:val="24"/>
          <w:highlight w:val="none"/>
          <w:lang w:bidi="ar"/>
        </w:rPr>
        <w:t>联合体。</w:t>
      </w:r>
      <w:bookmarkEnd w:id="2"/>
      <w:bookmarkStart w:id="3" w:name="_Toc28359013"/>
    </w:p>
    <w:p w14:paraId="1F76C767">
      <w:pPr>
        <w:widowControl/>
        <w:spacing w:line="440" w:lineRule="exact"/>
        <w:ind w:firstLine="482" w:firstLineChars="200"/>
        <w:jc w:val="left"/>
        <w:rPr>
          <w:rFonts w:ascii="Times New Roman" w:hAnsi="Times New Roman" w:cs="宋体"/>
          <w:color w:val="333333"/>
          <w:sz w:val="24"/>
          <w:highlight w:val="none"/>
        </w:rPr>
      </w:pPr>
      <w:r>
        <w:rPr>
          <w:rFonts w:hint="eastAsia" w:ascii="Times New Roman" w:hAnsi="Times New Roman" w:cs="宋体"/>
          <w:b/>
          <w:bCs/>
          <w:color w:val="333333"/>
          <w:kern w:val="0"/>
          <w:sz w:val="24"/>
          <w:highlight w:val="none"/>
          <w:lang w:bidi="ar"/>
        </w:rPr>
        <w:t>二、申请人的资格要求：</w:t>
      </w:r>
    </w:p>
    <w:bookmarkEnd w:id="3"/>
    <w:p w14:paraId="7CCFF1CA">
      <w:pPr>
        <w:spacing w:line="440" w:lineRule="exact"/>
        <w:ind w:firstLine="480" w:firstLineChars="200"/>
        <w:rPr>
          <w:rFonts w:ascii="Times New Roman" w:hAnsi="Times New Roman" w:cs="宋体"/>
          <w:sz w:val="24"/>
          <w:highlight w:val="none"/>
        </w:rPr>
      </w:pPr>
      <w:bookmarkStart w:id="4" w:name="_Toc28359014"/>
      <w:r>
        <w:rPr>
          <w:rFonts w:hint="eastAsia" w:ascii="Times New Roman" w:hAnsi="Times New Roman" w:cs="宋体"/>
          <w:sz w:val="24"/>
          <w:highlight w:val="none"/>
        </w:rPr>
        <w:t>1. 满足《中华人民共和国政府采购法》第二十二条规定，并提供下列材料：</w:t>
      </w:r>
    </w:p>
    <w:p w14:paraId="60466D0F">
      <w:pPr>
        <w:spacing w:line="440" w:lineRule="exact"/>
        <w:ind w:firstLine="480" w:firstLineChars="200"/>
        <w:rPr>
          <w:rFonts w:ascii="Times New Roman" w:hAnsi="Times New Roman" w:cs="宋体"/>
          <w:sz w:val="24"/>
          <w:highlight w:val="none"/>
        </w:rPr>
      </w:pPr>
      <w:r>
        <w:rPr>
          <w:rFonts w:hint="eastAsia" w:ascii="Times New Roman" w:hAnsi="Times New Roman" w:cs="宋体"/>
          <w:sz w:val="24"/>
          <w:highlight w:val="none"/>
        </w:rPr>
        <w:t>（1）法人或者其他组织的营业执照等证明文件，自然人的身份证明；</w:t>
      </w:r>
    </w:p>
    <w:p w14:paraId="42B5E3BE">
      <w:pPr>
        <w:spacing w:line="440" w:lineRule="exact"/>
        <w:ind w:firstLine="480" w:firstLineChars="200"/>
        <w:rPr>
          <w:rFonts w:ascii="Times New Roman" w:hAnsi="Times New Roman" w:cs="宋体"/>
          <w:sz w:val="24"/>
          <w:highlight w:val="none"/>
        </w:rPr>
      </w:pPr>
      <w:r>
        <w:rPr>
          <w:rFonts w:hint="eastAsia" w:ascii="Times New Roman" w:hAnsi="Times New Roman" w:cs="宋体"/>
          <w:sz w:val="24"/>
          <w:highlight w:val="none"/>
        </w:rPr>
        <w:t>（2）上一年度的财务状况报表（成立不满一年无需提供）；</w:t>
      </w:r>
    </w:p>
    <w:p w14:paraId="12DB1743">
      <w:pPr>
        <w:spacing w:line="440" w:lineRule="exact"/>
        <w:ind w:firstLine="480" w:firstLineChars="200"/>
        <w:rPr>
          <w:rFonts w:ascii="Times New Roman" w:hAnsi="Times New Roman" w:cs="宋体"/>
          <w:sz w:val="24"/>
          <w:highlight w:val="none"/>
        </w:rPr>
      </w:pPr>
      <w:r>
        <w:rPr>
          <w:rFonts w:hint="eastAsia" w:ascii="Times New Roman" w:hAnsi="Times New Roman" w:cs="宋体"/>
          <w:sz w:val="24"/>
          <w:highlight w:val="none"/>
        </w:rPr>
        <w:t>（3）依法缴纳税收和社会保障资金的相关材料（提供提交响应文件截止时间前一年内至少一个月依法缴纳税收及缴纳社会保障资金的证明材料。供应商依法享受缓缴、免缴税收、社会保障资金的提供证明材料）；</w:t>
      </w:r>
    </w:p>
    <w:p w14:paraId="45B799B1">
      <w:pPr>
        <w:spacing w:line="440" w:lineRule="exact"/>
        <w:ind w:firstLine="480" w:firstLineChars="200"/>
        <w:rPr>
          <w:rFonts w:ascii="Times New Roman" w:hAnsi="Times New Roman" w:cs="宋体"/>
          <w:sz w:val="24"/>
          <w:highlight w:val="none"/>
        </w:rPr>
      </w:pPr>
      <w:r>
        <w:rPr>
          <w:rFonts w:hint="eastAsia" w:ascii="Times New Roman" w:hAnsi="Times New Roman" w:cs="宋体"/>
          <w:sz w:val="24"/>
          <w:highlight w:val="none"/>
        </w:rPr>
        <w:t>（4）具备履行合同所必需的设备和专业技术能力的书面声明；</w:t>
      </w:r>
    </w:p>
    <w:p w14:paraId="796943F4">
      <w:pPr>
        <w:spacing w:line="440" w:lineRule="exact"/>
        <w:ind w:firstLine="480" w:firstLineChars="200"/>
        <w:rPr>
          <w:rFonts w:hint="eastAsia" w:ascii="Times New Roman" w:hAnsi="Times New Roman" w:cs="宋体"/>
          <w:sz w:val="24"/>
          <w:highlight w:val="none"/>
          <w:lang w:eastAsia="zh-CN"/>
        </w:rPr>
      </w:pPr>
      <w:r>
        <w:rPr>
          <w:rFonts w:hint="eastAsia" w:ascii="Times New Roman" w:hAnsi="Times New Roman" w:cs="宋体"/>
          <w:sz w:val="24"/>
          <w:highlight w:val="none"/>
        </w:rPr>
        <w:t>（5）参加政府采购活动前3年内在经营活动中没有重大违法记录的书面声明</w:t>
      </w:r>
      <w:r>
        <w:rPr>
          <w:rFonts w:hint="eastAsia" w:ascii="Times New Roman" w:hAnsi="Times New Roman" w:cs="宋体"/>
          <w:sz w:val="24"/>
          <w:highlight w:val="none"/>
          <w:lang w:eastAsia="zh-CN"/>
        </w:rPr>
        <w:t>；</w:t>
      </w:r>
    </w:p>
    <w:p w14:paraId="126CFA88">
      <w:pPr>
        <w:spacing w:line="440" w:lineRule="exact"/>
        <w:ind w:firstLine="480" w:firstLineChars="200"/>
        <w:rPr>
          <w:rFonts w:hint="eastAsia" w:ascii="Times New Roman" w:hAnsi="Times New Roman" w:cs="宋体"/>
          <w:sz w:val="24"/>
          <w:highlight w:val="none"/>
          <w:lang w:eastAsia="zh-CN"/>
        </w:rPr>
      </w:pPr>
      <w:r>
        <w:rPr>
          <w:rFonts w:hint="eastAsia" w:ascii="Times New Roman" w:hAnsi="Times New Roman" w:cs="宋体"/>
          <w:sz w:val="24"/>
          <w:highlight w:val="none"/>
        </w:rPr>
        <w:t>（</w:t>
      </w:r>
      <w:r>
        <w:rPr>
          <w:rFonts w:hint="eastAsia" w:ascii="Times New Roman" w:hAnsi="Times New Roman" w:cs="宋体"/>
          <w:sz w:val="24"/>
          <w:highlight w:val="none"/>
          <w:lang w:val="en-US" w:eastAsia="zh-CN"/>
        </w:rPr>
        <w:t>6</w:t>
      </w:r>
      <w:r>
        <w:rPr>
          <w:rFonts w:hint="eastAsia" w:ascii="Times New Roman" w:hAnsi="Times New Roman" w:cs="宋体"/>
          <w:sz w:val="24"/>
          <w:highlight w:val="none"/>
        </w:rPr>
        <w:t>）法律、行政法规规定的其他条件。</w:t>
      </w:r>
    </w:p>
    <w:p w14:paraId="00B651E2">
      <w:pPr>
        <w:widowControl/>
        <w:spacing w:line="440" w:lineRule="exact"/>
        <w:ind w:firstLine="480" w:firstLineChars="200"/>
        <w:rPr>
          <w:rFonts w:ascii="Times New Roman" w:hAnsi="Times New Roman" w:cs="宋体"/>
          <w:color w:val="333333"/>
          <w:sz w:val="24"/>
          <w:highlight w:val="none"/>
        </w:rPr>
      </w:pPr>
      <w:r>
        <w:rPr>
          <w:rFonts w:hint="eastAsia" w:ascii="Times New Roman" w:hAnsi="Times New Roman" w:cs="宋体"/>
          <w:color w:val="333333"/>
          <w:kern w:val="0"/>
          <w:sz w:val="24"/>
          <w:highlight w:val="none"/>
          <w:lang w:bidi="ar"/>
        </w:rPr>
        <w:t>2. 落实政府采购政策需满足的资格要求：无</w:t>
      </w:r>
    </w:p>
    <w:p w14:paraId="7EBFDC98">
      <w:pPr>
        <w:widowControl/>
        <w:spacing w:line="440" w:lineRule="exact"/>
        <w:ind w:firstLine="480" w:firstLineChars="200"/>
        <w:jc w:val="left"/>
        <w:rPr>
          <w:rFonts w:ascii="Times New Roman" w:hAnsi="Times New Roman" w:cs="宋体"/>
          <w:color w:val="333333"/>
          <w:sz w:val="24"/>
          <w:highlight w:val="none"/>
        </w:rPr>
      </w:pPr>
      <w:r>
        <w:rPr>
          <w:rFonts w:hint="eastAsia" w:ascii="Times New Roman" w:hAnsi="Times New Roman" w:cs="宋体"/>
          <w:color w:val="333333"/>
          <w:kern w:val="0"/>
          <w:sz w:val="24"/>
          <w:highlight w:val="none"/>
          <w:lang w:bidi="ar"/>
        </w:rPr>
        <w:t>3. 本项目的特定资格要求：</w:t>
      </w:r>
    </w:p>
    <w:bookmarkEnd w:id="4"/>
    <w:p w14:paraId="1C3BBC34">
      <w:pPr>
        <w:spacing w:line="360" w:lineRule="auto"/>
        <w:ind w:firstLine="480" w:firstLineChars="200"/>
        <w:rPr>
          <w:rFonts w:hint="eastAsia" w:ascii="宋体" w:hAnsi="宋体" w:cs="宋体"/>
          <w:color w:val="0000FF"/>
          <w:kern w:val="0"/>
          <w:sz w:val="24"/>
        </w:rPr>
      </w:pPr>
      <w:bookmarkStart w:id="5" w:name="_Toc35393800"/>
      <w:r>
        <w:rPr>
          <w:rFonts w:hint="eastAsia" w:ascii="宋体" w:hAnsi="宋体" w:cs="宋体"/>
          <w:kern w:val="0"/>
          <w:sz w:val="24"/>
        </w:rPr>
        <w:t>（1）</w:t>
      </w:r>
      <w:r>
        <w:rPr>
          <w:rFonts w:hint="eastAsia" w:ascii="宋体" w:hAnsi="宋体" w:cs="宋体"/>
          <w:kern w:val="0"/>
          <w:sz w:val="24"/>
          <w:lang w:val="en-US" w:eastAsia="zh-CN"/>
        </w:rPr>
        <w:t>供应商</w:t>
      </w:r>
      <w:r>
        <w:rPr>
          <w:rFonts w:hint="eastAsia" w:ascii="宋体" w:hAnsi="宋体" w:cs="宋体"/>
          <w:kern w:val="0"/>
          <w:sz w:val="24"/>
        </w:rPr>
        <w:t>未被“信用中国”网站（</w:t>
      </w:r>
      <w:r>
        <w:rPr>
          <w:rFonts w:hint="default" w:ascii="Times New Roman" w:hAnsi="Times New Roman" w:cs="Times New Roman"/>
          <w:kern w:val="0"/>
          <w:sz w:val="24"/>
        </w:rPr>
        <w:t>www.creditchina.gov.cn</w:t>
      </w:r>
      <w:r>
        <w:rPr>
          <w:rFonts w:hint="eastAsia" w:ascii="宋体" w:hAnsi="宋体" w:cs="宋体"/>
          <w:kern w:val="0"/>
          <w:sz w:val="24"/>
        </w:rPr>
        <w:t>）</w:t>
      </w:r>
      <w:r>
        <w:rPr>
          <w:rFonts w:hint="default" w:ascii="Calibri" w:hAnsi="Calibri" w:cs="Calibri"/>
          <w:kern w:val="0"/>
          <w:sz w:val="24"/>
        </w:rPr>
        <w:t>①</w:t>
      </w:r>
      <w:r>
        <w:rPr>
          <w:rFonts w:hint="eastAsia" w:ascii="宋体" w:hAnsi="宋体" w:cs="宋体"/>
          <w:kern w:val="0"/>
          <w:sz w:val="24"/>
        </w:rPr>
        <w:t>列入失信被执行人、</w:t>
      </w:r>
      <w:r>
        <w:rPr>
          <w:rFonts w:hint="default" w:ascii="Calibri" w:hAnsi="Calibri" w:cs="Calibri"/>
          <w:kern w:val="0"/>
          <w:sz w:val="24"/>
        </w:rPr>
        <w:t>②</w:t>
      </w:r>
      <w:r>
        <w:rPr>
          <w:rFonts w:hint="eastAsia" w:ascii="宋体" w:hAnsi="宋体" w:cs="宋体"/>
          <w:kern w:val="0"/>
          <w:sz w:val="24"/>
        </w:rPr>
        <w:t>重大税收违法案件当事人名单、</w:t>
      </w:r>
      <w:r>
        <w:rPr>
          <w:rFonts w:hint="default" w:ascii="Calibri" w:hAnsi="Calibri" w:cs="Calibri"/>
          <w:kern w:val="0"/>
          <w:sz w:val="24"/>
        </w:rPr>
        <w:t>③</w:t>
      </w:r>
      <w:r>
        <w:rPr>
          <w:rFonts w:hint="eastAsia" w:ascii="宋体" w:hAnsi="宋体" w:cs="宋体"/>
          <w:kern w:val="0"/>
          <w:sz w:val="24"/>
        </w:rPr>
        <w:t>政府采购严重失信行为记录名单。</w:t>
      </w:r>
      <w:r>
        <w:rPr>
          <w:rFonts w:hint="eastAsia" w:ascii="宋体" w:hAnsi="宋体" w:cs="宋体"/>
          <w:color w:val="0000FF"/>
          <w:kern w:val="0"/>
          <w:sz w:val="24"/>
        </w:rPr>
        <w:t>（提供网站截图）</w:t>
      </w:r>
    </w:p>
    <w:p w14:paraId="0B2269C9">
      <w:pPr>
        <w:spacing w:line="360" w:lineRule="auto"/>
        <w:ind w:firstLine="480" w:firstLineChars="200"/>
        <w:rPr>
          <w:rFonts w:hint="eastAsia" w:ascii="宋体" w:hAnsi="宋体" w:cs="宋体"/>
          <w:color w:val="0000FF"/>
          <w:kern w:val="0"/>
          <w:sz w:val="24"/>
        </w:rPr>
      </w:pPr>
      <w:r>
        <w:rPr>
          <w:rFonts w:hint="eastAsia" w:ascii="宋体" w:hAnsi="宋体" w:cs="宋体"/>
          <w:kern w:val="0"/>
          <w:sz w:val="24"/>
        </w:rPr>
        <w:t>（2）授权委托人须为本单位正式职工。（提供</w:t>
      </w:r>
      <w:r>
        <w:rPr>
          <w:rFonts w:hint="default" w:ascii="Calibri" w:hAnsi="Calibri" w:cs="Calibri"/>
          <w:kern w:val="0"/>
          <w:sz w:val="24"/>
        </w:rPr>
        <w:t>①</w:t>
      </w:r>
      <w:r>
        <w:rPr>
          <w:rFonts w:hint="eastAsia" w:ascii="宋体" w:hAnsi="宋体" w:cs="宋体"/>
          <w:kern w:val="0"/>
          <w:sz w:val="24"/>
        </w:rPr>
        <w:t>授权委托人身份证</w:t>
      </w:r>
      <w:r>
        <w:rPr>
          <w:rFonts w:hint="eastAsia" w:ascii="宋体" w:hAnsi="宋体" w:cs="宋体"/>
          <w:kern w:val="0"/>
          <w:sz w:val="24"/>
          <w:lang w:val="en-US" w:eastAsia="zh-CN"/>
        </w:rPr>
        <w:t>复印件</w:t>
      </w:r>
      <w:r>
        <w:rPr>
          <w:rFonts w:hint="eastAsia" w:ascii="宋体" w:hAnsi="宋体" w:cs="宋体"/>
          <w:kern w:val="0"/>
          <w:sz w:val="24"/>
        </w:rPr>
        <w:t>、</w:t>
      </w:r>
      <w:r>
        <w:rPr>
          <w:rFonts w:hint="default" w:ascii="Calibri" w:hAnsi="Calibri" w:cs="Calibri"/>
          <w:kern w:val="0"/>
          <w:sz w:val="24"/>
        </w:rPr>
        <w:t>②</w:t>
      </w:r>
      <w:r>
        <w:rPr>
          <w:rFonts w:hint="eastAsia" w:ascii="宋体" w:hAnsi="宋体" w:cs="宋体"/>
          <w:color w:val="0000FF"/>
          <w:kern w:val="0"/>
          <w:sz w:val="24"/>
        </w:rPr>
        <w:t>近</w:t>
      </w:r>
      <w:r>
        <w:rPr>
          <w:rFonts w:hint="eastAsia" w:ascii="宋体" w:hAnsi="宋体" w:cs="宋体"/>
          <w:color w:val="0000FF"/>
          <w:kern w:val="0"/>
          <w:sz w:val="24"/>
          <w:lang w:val="en-US" w:eastAsia="zh-CN"/>
        </w:rPr>
        <w:t>1</w:t>
      </w:r>
      <w:r>
        <w:rPr>
          <w:rFonts w:hint="eastAsia" w:ascii="宋体" w:hAnsi="宋体" w:cs="宋体"/>
          <w:color w:val="0000FF"/>
          <w:kern w:val="0"/>
          <w:sz w:val="24"/>
        </w:rPr>
        <w:t>个月的社保证明</w:t>
      </w:r>
      <w:r>
        <w:rPr>
          <w:rFonts w:hint="eastAsia" w:ascii="宋体" w:hAnsi="宋体" w:cs="宋体"/>
          <w:color w:val="0000FF"/>
          <w:kern w:val="0"/>
          <w:sz w:val="24"/>
          <w:lang w:val="en-US" w:eastAsia="zh-CN"/>
        </w:rPr>
        <w:t>和</w:t>
      </w:r>
      <w:r>
        <w:rPr>
          <w:rFonts w:hint="default" w:ascii="Calibri" w:hAnsi="Calibri" w:cs="Calibri"/>
          <w:color w:val="0000FF"/>
          <w:kern w:val="0"/>
          <w:sz w:val="24"/>
          <w:lang w:val="en-US" w:eastAsia="zh-CN"/>
        </w:rPr>
        <w:t>③</w:t>
      </w:r>
      <w:r>
        <w:rPr>
          <w:rFonts w:hint="eastAsia" w:ascii="宋体" w:hAnsi="宋体" w:cs="宋体"/>
          <w:color w:val="0000FF"/>
          <w:kern w:val="0"/>
          <w:sz w:val="24"/>
        </w:rPr>
        <w:t>未被“信用中国”网站（</w:t>
      </w:r>
      <w:r>
        <w:rPr>
          <w:rFonts w:hint="default" w:ascii="Times New Roman" w:hAnsi="Times New Roman" w:cs="Times New Roman"/>
          <w:color w:val="0000FF"/>
          <w:kern w:val="0"/>
          <w:sz w:val="24"/>
        </w:rPr>
        <w:t>www.creditchina.gov.cn</w:t>
      </w:r>
      <w:r>
        <w:rPr>
          <w:rFonts w:hint="eastAsia" w:ascii="宋体" w:hAnsi="宋体" w:cs="宋体"/>
          <w:color w:val="0000FF"/>
          <w:kern w:val="0"/>
          <w:sz w:val="24"/>
        </w:rPr>
        <w:t>）列入失信被执行人</w:t>
      </w:r>
      <w:r>
        <w:rPr>
          <w:rFonts w:hint="eastAsia" w:ascii="宋体" w:hAnsi="宋体" w:cs="宋体"/>
          <w:color w:val="0000FF"/>
          <w:kern w:val="0"/>
          <w:sz w:val="24"/>
          <w:lang w:val="en-US" w:eastAsia="zh-CN"/>
        </w:rPr>
        <w:t>名单截图</w:t>
      </w:r>
      <w:r>
        <w:rPr>
          <w:rFonts w:hint="eastAsia" w:ascii="宋体" w:hAnsi="宋体" w:cs="宋体"/>
          <w:color w:val="0000FF"/>
          <w:kern w:val="0"/>
          <w:sz w:val="24"/>
        </w:rPr>
        <w:t>）。</w:t>
      </w:r>
    </w:p>
    <w:p w14:paraId="6F582042">
      <w:pPr>
        <w:spacing w:line="440" w:lineRule="exact"/>
        <w:ind w:firstLine="480" w:firstLineChars="200"/>
        <w:rPr>
          <w:rFonts w:hint="eastAsia" w:ascii="Times New Roman" w:hAnsi="Times New Roman" w:cs="宋体"/>
          <w:sz w:val="24"/>
          <w:highlight w:val="none"/>
        </w:rPr>
      </w:pPr>
      <w:r>
        <w:rPr>
          <w:rFonts w:hint="eastAsia" w:ascii="Times New Roman" w:hAnsi="Times New Roman" w:cs="宋体"/>
          <w:sz w:val="24"/>
          <w:highlight w:val="none"/>
        </w:rPr>
        <w:t>（</w:t>
      </w:r>
      <w:r>
        <w:rPr>
          <w:rFonts w:hint="eastAsia" w:ascii="Times New Roman" w:hAnsi="Times New Roman" w:cs="宋体"/>
          <w:sz w:val="24"/>
          <w:highlight w:val="none"/>
          <w:lang w:val="en-US" w:eastAsia="zh-CN"/>
        </w:rPr>
        <w:t>3</w:t>
      </w:r>
      <w:r>
        <w:rPr>
          <w:rFonts w:hint="eastAsia" w:ascii="Times New Roman" w:hAnsi="Times New Roman" w:cs="宋体"/>
          <w:sz w:val="24"/>
          <w:highlight w:val="none"/>
        </w:rPr>
        <w:t>）单位负责人为同一人或者存在直接控股、管理关系的不同供应商，不得参加同一合同项下的政府采购活动</w:t>
      </w:r>
      <w:r>
        <w:rPr>
          <w:rFonts w:hint="eastAsia" w:ascii="Times New Roman" w:hAnsi="Times New Roman" w:cs="宋体"/>
          <w:sz w:val="24"/>
          <w:highlight w:val="none"/>
          <w:lang w:eastAsia="zh-CN"/>
        </w:rPr>
        <w:t>（</w:t>
      </w:r>
      <w:r>
        <w:rPr>
          <w:rFonts w:hint="eastAsia" w:ascii="宋体" w:hAnsi="宋体" w:cs="宋体"/>
          <w:color w:val="0000FF"/>
          <w:kern w:val="0"/>
          <w:sz w:val="24"/>
          <w:lang w:val="en-US" w:eastAsia="zh-CN"/>
        </w:rPr>
        <w:t>提供承诺函，格式自拟</w:t>
      </w:r>
      <w:r>
        <w:rPr>
          <w:rFonts w:hint="eastAsia" w:ascii="宋体" w:hAnsi="宋体" w:cs="宋体"/>
          <w:kern w:val="0"/>
          <w:sz w:val="24"/>
        </w:rPr>
        <w:t>）</w:t>
      </w:r>
      <w:r>
        <w:rPr>
          <w:rFonts w:hint="eastAsia" w:ascii="Times New Roman" w:hAnsi="Times New Roman" w:cs="宋体"/>
          <w:sz w:val="24"/>
          <w:highlight w:val="none"/>
        </w:rPr>
        <w:t>。</w:t>
      </w:r>
    </w:p>
    <w:p w14:paraId="171D00F7">
      <w:pPr>
        <w:spacing w:line="440" w:lineRule="exact"/>
        <w:ind w:firstLine="482" w:firstLineChars="200"/>
        <w:rPr>
          <w:rFonts w:ascii="Times New Roman" w:hAnsi="Times New Roman" w:cs="宋体"/>
          <w:b/>
          <w:bCs/>
          <w:sz w:val="24"/>
          <w:highlight w:val="none"/>
        </w:rPr>
      </w:pPr>
      <w:r>
        <w:rPr>
          <w:rFonts w:hint="eastAsia" w:ascii="Times New Roman" w:hAnsi="Times New Roman" w:cs="宋体"/>
          <w:b/>
          <w:bCs/>
          <w:sz w:val="24"/>
          <w:highlight w:val="none"/>
        </w:rPr>
        <w:t>三、获取询价文件</w:t>
      </w:r>
    </w:p>
    <w:bookmarkEnd w:id="5"/>
    <w:p w14:paraId="478DE14F">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ascii="宋体" w:hAnsi="宋体" w:cs="宋体"/>
          <w:color w:val="auto"/>
          <w:sz w:val="24"/>
          <w:highlight w:val="none"/>
        </w:rPr>
      </w:pPr>
      <w:bookmarkStart w:id="6" w:name="_Toc35393801"/>
      <w:r>
        <w:rPr>
          <w:rFonts w:hint="eastAsia" w:ascii="宋体" w:hAnsi="宋体" w:cs="宋体"/>
          <w:color w:val="auto"/>
          <w:sz w:val="24"/>
          <w:highlight w:val="none"/>
        </w:rPr>
        <w:t>1、时间：</w:t>
      </w:r>
      <w:r>
        <w:rPr>
          <w:rFonts w:hint="eastAsia" w:ascii="宋体" w:hAnsi="宋体" w:cs="宋体"/>
          <w:color w:val="auto"/>
          <w:sz w:val="24"/>
          <w:highlight w:val="none"/>
          <w:u w:val="single"/>
        </w:rPr>
        <w:t>自公告之日起至投标截止时间前</w:t>
      </w:r>
    </w:p>
    <w:p w14:paraId="6D90595D">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ascii="宋体" w:hAnsi="宋体" w:eastAsia="宋体" w:cs="宋体"/>
          <w:color w:val="000000"/>
          <w:sz w:val="24"/>
          <w:u w:val="single"/>
        </w:rPr>
      </w:pPr>
      <w:r>
        <w:rPr>
          <w:rFonts w:hint="eastAsia" w:ascii="宋体" w:hAnsi="宋体" w:cs="宋体"/>
          <w:color w:val="auto"/>
          <w:sz w:val="24"/>
          <w:highlight w:val="none"/>
        </w:rPr>
        <w:t>2、地点</w:t>
      </w:r>
      <w:r>
        <w:rPr>
          <w:rFonts w:ascii="宋体" w:hAnsi="宋体" w:eastAsia="宋体" w:cs="宋体"/>
          <w:color w:val="000000"/>
          <w:sz w:val="24"/>
          <w:u w:val="single"/>
        </w:rPr>
        <w:t>“</w:t>
      </w:r>
      <w:r>
        <w:rPr>
          <w:rFonts w:hint="eastAsia" w:ascii="Times New Roman" w:hAnsi="Times New Roman" w:eastAsia="宋体" w:cs="宋体"/>
          <w:color w:val="333333"/>
          <w:kern w:val="0"/>
          <w:sz w:val="24"/>
          <w:highlight w:val="none"/>
          <w:u w:val="single"/>
          <w:shd w:val="clear" w:color="auto" w:fill="FFFFFF"/>
          <w:lang w:bidi="ar"/>
        </w:rPr>
        <w:t>盐城幼儿师范高等专科学校”网站【https://www.yyz.edu.cn/main.htm】</w:t>
      </w:r>
      <w:r>
        <w:rPr>
          <w:rFonts w:ascii="宋体" w:hAnsi="宋体" w:eastAsia="宋体" w:cs="宋体"/>
          <w:color w:val="000000"/>
          <w:sz w:val="24"/>
          <w:u w:val="single"/>
        </w:rPr>
        <w:t>”</w:t>
      </w:r>
    </w:p>
    <w:p w14:paraId="14C90508">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3、方式：符合资格要求的投标人可自行下载招标文件。</w:t>
      </w:r>
    </w:p>
    <w:p w14:paraId="0D700FE7">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4、售价：</w:t>
      </w:r>
      <w:r>
        <w:rPr>
          <w:rFonts w:hint="eastAsia" w:ascii="宋体" w:hAnsi="宋体" w:cs="宋体"/>
          <w:color w:val="auto"/>
          <w:sz w:val="24"/>
          <w:highlight w:val="none"/>
          <w:u w:val="single"/>
          <w:lang w:val="en-US" w:eastAsia="zh-CN"/>
        </w:rPr>
        <w:t>2</w:t>
      </w:r>
      <w:bookmarkStart w:id="130" w:name="_GoBack"/>
      <w:bookmarkEnd w:id="130"/>
      <w:r>
        <w:rPr>
          <w:rFonts w:hint="eastAsia" w:ascii="宋体" w:hAnsi="宋体" w:cs="宋体"/>
          <w:color w:val="auto"/>
          <w:sz w:val="24"/>
          <w:highlight w:val="none"/>
          <w:u w:val="single"/>
        </w:rPr>
        <w:t>00</w:t>
      </w:r>
      <w:r>
        <w:rPr>
          <w:rFonts w:hint="eastAsia" w:ascii="宋体" w:hAnsi="宋体" w:cs="宋体"/>
          <w:color w:val="auto"/>
          <w:sz w:val="24"/>
          <w:highlight w:val="none"/>
        </w:rPr>
        <w:t>元。</w:t>
      </w:r>
    </w:p>
    <w:p w14:paraId="2F8A7FB0">
      <w:pPr>
        <w:keepNext w:val="0"/>
        <w:keepLines w:val="0"/>
        <w:pageBreakBefore w:val="0"/>
        <w:widowControl/>
        <w:tabs>
          <w:tab w:val="left" w:pos="900"/>
        </w:tabs>
        <w:kinsoku/>
        <w:wordWrap/>
        <w:overflowPunct/>
        <w:topLinePunct w:val="0"/>
        <w:autoSpaceDE/>
        <w:autoSpaceDN/>
        <w:bidi w:val="0"/>
        <w:adjustRightInd/>
        <w:snapToGrid/>
        <w:spacing w:before="0" w:after="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5、缴纳</w:t>
      </w:r>
      <w:r>
        <w:rPr>
          <w:rFonts w:hint="eastAsia" w:ascii="宋体" w:hAnsi="宋体" w:eastAsia="宋体" w:cs="宋体"/>
          <w:sz w:val="24"/>
          <w:szCs w:val="24"/>
        </w:rPr>
        <w:t>方式：开标时现场现金缴纳，由代理公司收取，投标人无论中标与否，文件工本费不退。</w:t>
      </w:r>
    </w:p>
    <w:p w14:paraId="212F8D4A">
      <w:pPr>
        <w:keepNext w:val="0"/>
        <w:keepLines w:val="0"/>
        <w:pageBreakBefore w:val="0"/>
        <w:widowControl/>
        <w:kinsoku/>
        <w:wordWrap/>
        <w:overflowPunct/>
        <w:topLinePunct w:val="0"/>
        <w:autoSpaceDE/>
        <w:autoSpaceDN/>
        <w:bidi w:val="0"/>
        <w:adjustRightInd/>
        <w:snapToGrid/>
        <w:spacing w:before="0" w:after="0" w:line="360" w:lineRule="auto"/>
        <w:ind w:firstLine="480" w:firstLineChars="200"/>
        <w:jc w:val="left"/>
        <w:textAlignment w:val="auto"/>
        <w:rPr>
          <w:rFonts w:hint="eastAsia" w:ascii="宋体" w:hAnsi="宋体" w:eastAsia="宋体" w:cs="宋体"/>
          <w:kern w:val="15"/>
          <w:position w:val="2"/>
          <w:sz w:val="24"/>
          <w:szCs w:val="24"/>
        </w:rPr>
      </w:pPr>
      <w:r>
        <w:rPr>
          <w:rFonts w:hint="eastAsia" w:ascii="宋体" w:hAnsi="宋体" w:eastAsia="宋体" w:cs="宋体"/>
          <w:kern w:val="15"/>
          <w:position w:val="2"/>
          <w:sz w:val="24"/>
          <w:szCs w:val="24"/>
          <w:lang w:val="en-US" w:eastAsia="zh-CN"/>
        </w:rPr>
        <w:t>6、</w:t>
      </w:r>
      <w:r>
        <w:rPr>
          <w:rFonts w:hint="eastAsia" w:ascii="宋体" w:hAnsi="宋体" w:eastAsia="宋体" w:cs="宋体"/>
          <w:kern w:val="15"/>
          <w:position w:val="2"/>
          <w:sz w:val="24"/>
          <w:szCs w:val="24"/>
        </w:rPr>
        <w:t>供应商通过其他渠道获取的与本项目采购相关的资料，采购人一律不予承认且不承担由此引发的一切责任。</w:t>
      </w:r>
    </w:p>
    <w:p w14:paraId="5206DDA9">
      <w:pPr>
        <w:widowControl/>
        <w:spacing w:line="440" w:lineRule="exact"/>
        <w:ind w:firstLine="482" w:firstLineChars="200"/>
        <w:jc w:val="left"/>
        <w:rPr>
          <w:rFonts w:ascii="Times New Roman" w:hAnsi="Times New Roman" w:cs="宋体"/>
          <w:color w:val="333333"/>
          <w:sz w:val="24"/>
          <w:highlight w:val="none"/>
        </w:rPr>
      </w:pPr>
      <w:r>
        <w:rPr>
          <w:rFonts w:hint="eastAsia" w:ascii="Times New Roman" w:hAnsi="Times New Roman" w:cs="宋体"/>
          <w:b/>
          <w:bCs/>
          <w:color w:val="333333"/>
          <w:kern w:val="0"/>
          <w:sz w:val="24"/>
          <w:highlight w:val="none"/>
          <w:lang w:bidi="ar"/>
        </w:rPr>
        <w:t>四、</w:t>
      </w:r>
      <w:r>
        <w:rPr>
          <w:rFonts w:hint="eastAsia" w:ascii="Times New Roman" w:hAnsi="Times New Roman" w:cs="宋体"/>
          <w:b/>
          <w:bCs/>
          <w:sz w:val="24"/>
          <w:highlight w:val="none"/>
        </w:rPr>
        <w:t>提交响应文件截止时间和地址</w:t>
      </w:r>
    </w:p>
    <w:p w14:paraId="00AF5F21">
      <w:pPr>
        <w:widowControl/>
        <w:spacing w:line="440" w:lineRule="exact"/>
        <w:ind w:firstLine="480" w:firstLineChars="200"/>
        <w:jc w:val="left"/>
        <w:rPr>
          <w:rFonts w:ascii="Times New Roman" w:hAnsi="Times New Roman" w:cs="宋体"/>
          <w:color w:val="333333"/>
          <w:sz w:val="24"/>
          <w:highlight w:val="none"/>
        </w:rPr>
      </w:pPr>
      <w:r>
        <w:rPr>
          <w:rFonts w:hint="eastAsia" w:ascii="Times New Roman" w:hAnsi="Times New Roman" w:cs="宋体"/>
          <w:color w:val="333333"/>
          <w:kern w:val="0"/>
          <w:sz w:val="24"/>
          <w:highlight w:val="none"/>
          <w:lang w:bidi="ar"/>
        </w:rPr>
        <w:t>截止时间：</w:t>
      </w:r>
      <w:r>
        <w:rPr>
          <w:rFonts w:hint="eastAsia" w:ascii="Times New Roman" w:hAnsi="Times New Roman" w:cs="宋体"/>
          <w:color w:val="333333"/>
          <w:kern w:val="0"/>
          <w:sz w:val="24"/>
          <w:highlight w:val="green"/>
          <w:u w:val="single"/>
          <w:lang w:bidi="ar"/>
        </w:rPr>
        <w:t>2024年</w:t>
      </w:r>
      <w:r>
        <w:rPr>
          <w:rFonts w:hint="eastAsia" w:ascii="Times New Roman" w:hAnsi="Times New Roman" w:cs="宋体"/>
          <w:color w:val="333333"/>
          <w:kern w:val="0"/>
          <w:sz w:val="24"/>
          <w:highlight w:val="green"/>
          <w:u w:val="single"/>
          <w:lang w:val="en-US" w:eastAsia="zh-CN" w:bidi="ar"/>
        </w:rPr>
        <w:t>6</w:t>
      </w:r>
      <w:r>
        <w:rPr>
          <w:rFonts w:hint="eastAsia" w:ascii="Times New Roman" w:hAnsi="Times New Roman" w:cs="宋体"/>
          <w:color w:val="333333"/>
          <w:kern w:val="0"/>
          <w:sz w:val="24"/>
          <w:highlight w:val="green"/>
          <w:u w:val="single"/>
          <w:lang w:bidi="ar"/>
        </w:rPr>
        <w:t>月</w:t>
      </w:r>
      <w:r>
        <w:rPr>
          <w:rFonts w:hint="eastAsia" w:ascii="Times New Roman" w:hAnsi="Times New Roman" w:cs="宋体"/>
          <w:color w:val="333333"/>
          <w:kern w:val="0"/>
          <w:sz w:val="24"/>
          <w:highlight w:val="green"/>
          <w:u w:val="single"/>
          <w:lang w:val="en-US" w:eastAsia="zh-CN" w:bidi="ar"/>
        </w:rPr>
        <w:t xml:space="preserve"> 20 </w:t>
      </w:r>
      <w:r>
        <w:rPr>
          <w:rFonts w:hint="eastAsia" w:ascii="Times New Roman" w:hAnsi="Times New Roman" w:cs="宋体"/>
          <w:color w:val="333333"/>
          <w:kern w:val="0"/>
          <w:sz w:val="24"/>
          <w:highlight w:val="green"/>
          <w:u w:val="single"/>
          <w:lang w:bidi="ar"/>
        </w:rPr>
        <w:t>日15点00分</w:t>
      </w:r>
      <w:r>
        <w:rPr>
          <w:rFonts w:hint="eastAsia" w:ascii="Times New Roman" w:hAnsi="Times New Roman" w:cs="宋体"/>
          <w:color w:val="333333"/>
          <w:kern w:val="0"/>
          <w:sz w:val="24"/>
          <w:highlight w:val="none"/>
          <w:lang w:bidi="ar"/>
        </w:rPr>
        <w:t>（北京时间）</w:t>
      </w:r>
    </w:p>
    <w:p w14:paraId="6E713F76">
      <w:pPr>
        <w:spacing w:line="440" w:lineRule="exact"/>
        <w:ind w:firstLine="480" w:firstLineChars="200"/>
        <w:jc w:val="left"/>
        <w:rPr>
          <w:rFonts w:ascii="Times New Roman" w:hAnsi="Times New Roman" w:cs="宋体"/>
          <w:b/>
          <w:bCs/>
          <w:kern w:val="15"/>
          <w:position w:val="2"/>
          <w:sz w:val="24"/>
          <w:highlight w:val="none"/>
        </w:rPr>
      </w:pPr>
      <w:r>
        <w:rPr>
          <w:rFonts w:hint="eastAsia" w:ascii="Times New Roman" w:hAnsi="Times New Roman" w:cs="宋体"/>
          <w:color w:val="333333"/>
          <w:kern w:val="0"/>
          <w:sz w:val="24"/>
          <w:highlight w:val="none"/>
          <w:lang w:bidi="ar"/>
        </w:rPr>
        <w:t>地点：盐城幼儿师范高等专科学校学海路校区(盐城市学海路28号)财务处招标办公室。</w:t>
      </w:r>
    </w:p>
    <w:bookmarkEnd w:id="6"/>
    <w:p w14:paraId="55B3590E">
      <w:pPr>
        <w:widowControl/>
        <w:spacing w:line="440" w:lineRule="exact"/>
        <w:ind w:firstLine="482" w:firstLineChars="200"/>
        <w:jc w:val="left"/>
        <w:rPr>
          <w:rFonts w:ascii="Times New Roman" w:hAnsi="Times New Roman" w:cs="宋体"/>
          <w:color w:val="333333"/>
          <w:sz w:val="24"/>
          <w:highlight w:val="none"/>
        </w:rPr>
      </w:pPr>
      <w:bookmarkStart w:id="7" w:name="_Toc35393634"/>
      <w:r>
        <w:rPr>
          <w:rFonts w:hint="eastAsia" w:ascii="Times New Roman" w:hAnsi="Times New Roman" w:cs="宋体"/>
          <w:b/>
          <w:bCs/>
          <w:color w:val="333333"/>
          <w:kern w:val="0"/>
          <w:sz w:val="24"/>
          <w:highlight w:val="none"/>
          <w:lang w:bidi="ar"/>
        </w:rPr>
        <w:t>五、公告期限</w:t>
      </w:r>
    </w:p>
    <w:p w14:paraId="631A0EAE">
      <w:pPr>
        <w:widowControl/>
        <w:spacing w:line="440" w:lineRule="exact"/>
        <w:ind w:firstLine="480" w:firstLineChars="200"/>
        <w:jc w:val="left"/>
        <w:rPr>
          <w:rFonts w:ascii="Times New Roman" w:hAnsi="Times New Roman" w:cs="宋体"/>
          <w:color w:val="333333"/>
          <w:sz w:val="24"/>
          <w:highlight w:val="none"/>
        </w:rPr>
      </w:pPr>
      <w:r>
        <w:rPr>
          <w:rFonts w:hint="eastAsia" w:ascii="Times New Roman" w:hAnsi="Times New Roman" w:cs="宋体"/>
          <w:color w:val="333333"/>
          <w:kern w:val="0"/>
          <w:sz w:val="24"/>
          <w:highlight w:val="none"/>
          <w:lang w:bidi="ar"/>
        </w:rPr>
        <w:t>自本公告发布之日起3个工作日。</w:t>
      </w:r>
    </w:p>
    <w:p w14:paraId="748E732F">
      <w:pPr>
        <w:widowControl/>
        <w:spacing w:line="440" w:lineRule="exact"/>
        <w:ind w:firstLine="482" w:firstLineChars="200"/>
        <w:jc w:val="left"/>
        <w:rPr>
          <w:rFonts w:ascii="Times New Roman" w:hAnsi="Times New Roman" w:cs="宋体"/>
          <w:color w:val="333333"/>
          <w:sz w:val="24"/>
          <w:highlight w:val="none"/>
        </w:rPr>
      </w:pPr>
      <w:r>
        <w:rPr>
          <w:rFonts w:hint="eastAsia" w:ascii="Times New Roman" w:hAnsi="Times New Roman" w:cs="宋体"/>
          <w:b/>
          <w:bCs/>
          <w:color w:val="333333"/>
          <w:kern w:val="0"/>
          <w:sz w:val="24"/>
          <w:highlight w:val="none"/>
          <w:lang w:bidi="ar"/>
        </w:rPr>
        <w:t>六、其他补充事宜</w:t>
      </w:r>
    </w:p>
    <w:bookmarkEnd w:id="7"/>
    <w:p w14:paraId="697DB351">
      <w:pPr>
        <w:widowControl/>
        <w:spacing w:line="440" w:lineRule="exact"/>
        <w:ind w:firstLine="480" w:firstLineChars="200"/>
        <w:jc w:val="left"/>
        <w:rPr>
          <w:rFonts w:ascii="Times New Roman" w:hAnsi="Times New Roman" w:cs="宋体"/>
          <w:color w:val="333333"/>
          <w:sz w:val="24"/>
          <w:highlight w:val="none"/>
        </w:rPr>
      </w:pPr>
      <w:bookmarkStart w:id="8" w:name="_Toc28359018"/>
      <w:r>
        <w:rPr>
          <w:rFonts w:hint="eastAsia" w:ascii="Times New Roman" w:hAnsi="Times New Roman" w:cs="宋体"/>
          <w:color w:val="333333"/>
          <w:kern w:val="0"/>
          <w:sz w:val="24"/>
          <w:highlight w:val="none"/>
          <w:lang w:bidi="ar"/>
        </w:rPr>
        <w:t>1. 投标文件正本1份，副本2份，电子投标文件1份（内容：按要求签字盖章的正本彩色扫描件1份；格式：PDF；载体：U盘。）</w:t>
      </w:r>
      <w:r>
        <w:rPr>
          <w:rFonts w:hint="eastAsia" w:ascii="Times New Roman" w:hAnsi="Times New Roman" w:cs="宋体"/>
          <w:color w:val="333333"/>
          <w:kern w:val="0"/>
          <w:sz w:val="24"/>
          <w:highlight w:val="none"/>
          <w:lang w:val="en-US" w:eastAsia="zh-CN" w:bidi="ar"/>
        </w:rPr>
        <w:t>直接放入封袋中。</w:t>
      </w:r>
    </w:p>
    <w:p w14:paraId="212C075E">
      <w:pPr>
        <w:widowControl/>
        <w:spacing w:line="440" w:lineRule="exact"/>
        <w:ind w:firstLine="480" w:firstLineChars="200"/>
        <w:jc w:val="left"/>
        <w:rPr>
          <w:rFonts w:ascii="Times New Roman" w:hAnsi="Times New Roman" w:cs="宋体"/>
          <w:color w:val="333333"/>
          <w:sz w:val="24"/>
          <w:highlight w:val="none"/>
        </w:rPr>
      </w:pPr>
      <w:r>
        <w:rPr>
          <w:rFonts w:hint="eastAsia" w:ascii="Times New Roman" w:hAnsi="Times New Roman" w:cs="宋体"/>
          <w:color w:val="333333"/>
          <w:kern w:val="0"/>
          <w:sz w:val="24"/>
          <w:highlight w:val="none"/>
          <w:lang w:bidi="ar"/>
        </w:rPr>
        <w:t>2. 投标人的法定代表人（或委托代理人）需携带其二代身份证原件准时出席开标会议，否则做无效标处理。</w:t>
      </w:r>
    </w:p>
    <w:bookmarkEnd w:id="8"/>
    <w:p w14:paraId="2749D142">
      <w:pPr>
        <w:widowControl/>
        <w:shd w:val="clear" w:color="auto" w:fill="FFFFFF"/>
        <w:spacing w:line="440" w:lineRule="exact"/>
        <w:ind w:firstLine="480" w:firstLineChars="200"/>
        <w:jc w:val="left"/>
        <w:rPr>
          <w:rFonts w:ascii="Times New Roman" w:hAnsi="Times New Roman" w:cs="宋体"/>
          <w:color w:val="333333"/>
          <w:sz w:val="24"/>
          <w:highlight w:val="none"/>
        </w:rPr>
      </w:pPr>
      <w:bookmarkStart w:id="9" w:name="_Toc35393796"/>
      <w:bookmarkEnd w:id="9"/>
      <w:bookmarkStart w:id="10" w:name="_Toc28359008"/>
      <w:r>
        <w:rPr>
          <w:rFonts w:hint="eastAsia" w:ascii="Times New Roman" w:hAnsi="Times New Roman" w:cs="宋体"/>
          <w:color w:val="333333"/>
          <w:kern w:val="0"/>
          <w:sz w:val="24"/>
          <w:highlight w:val="none"/>
          <w:shd w:val="clear" w:color="auto" w:fill="FFFFFF"/>
          <w:lang w:bidi="ar"/>
        </w:rPr>
        <w:t>3</w:t>
      </w:r>
      <w:r>
        <w:rPr>
          <w:rFonts w:hint="eastAsia" w:ascii="Times New Roman" w:hAnsi="Times New Roman" w:cs="宋体"/>
          <w:color w:val="333333"/>
          <w:kern w:val="0"/>
          <w:sz w:val="24"/>
          <w:highlight w:val="none"/>
          <w:lang w:bidi="ar"/>
        </w:rPr>
        <w:t xml:space="preserve">. </w:t>
      </w:r>
      <w:r>
        <w:rPr>
          <w:rFonts w:hint="eastAsia" w:ascii="Times New Roman" w:hAnsi="Times New Roman" w:cs="宋体"/>
          <w:color w:val="333333"/>
          <w:kern w:val="0"/>
          <w:sz w:val="24"/>
          <w:highlight w:val="none"/>
          <w:shd w:val="clear" w:color="auto" w:fill="FFFFFF"/>
          <w:lang w:bidi="ar"/>
        </w:rPr>
        <w:t>本次招标</w:t>
      </w:r>
      <w:r>
        <w:rPr>
          <w:rFonts w:hint="eastAsia" w:ascii="Times New Roman" w:hAnsi="Times New Roman" w:cs="宋体"/>
          <w:color w:val="333333"/>
          <w:kern w:val="0"/>
          <w:sz w:val="24"/>
          <w:highlight w:val="none"/>
          <w:u w:val="none"/>
          <w:shd w:val="clear" w:color="auto" w:fill="FFFFFF"/>
          <w:lang w:bidi="ar"/>
        </w:rPr>
        <w:t>不收取</w:t>
      </w:r>
      <w:r>
        <w:rPr>
          <w:rFonts w:hint="eastAsia" w:ascii="Times New Roman" w:hAnsi="Times New Roman" w:cs="宋体"/>
          <w:color w:val="333333"/>
          <w:kern w:val="0"/>
          <w:sz w:val="24"/>
          <w:highlight w:val="none"/>
          <w:shd w:val="clear" w:color="auto" w:fill="FFFFFF"/>
          <w:lang w:bidi="ar"/>
        </w:rPr>
        <w:t>投标保证金。</w:t>
      </w:r>
    </w:p>
    <w:p w14:paraId="4B4774B2">
      <w:pPr>
        <w:spacing w:line="440" w:lineRule="exact"/>
        <w:ind w:firstLine="480" w:firstLineChars="200"/>
        <w:jc w:val="left"/>
        <w:rPr>
          <w:rStyle w:val="27"/>
          <w:rFonts w:ascii="Times New Roman" w:hAnsi="Times New Roman" w:cs="宋体"/>
          <w:color w:val="000000"/>
          <w:sz w:val="24"/>
          <w:highlight w:val="none"/>
        </w:rPr>
      </w:pPr>
      <w:r>
        <w:rPr>
          <w:rFonts w:hint="eastAsia" w:ascii="Times New Roman" w:hAnsi="Times New Roman" w:cs="宋体"/>
          <w:color w:val="333333"/>
          <w:kern w:val="0"/>
          <w:sz w:val="24"/>
          <w:highlight w:val="none"/>
          <w:shd w:val="clear" w:color="auto" w:fill="FFFFFF"/>
          <w:lang w:bidi="ar"/>
        </w:rPr>
        <w:t>4</w:t>
      </w:r>
      <w:r>
        <w:rPr>
          <w:rFonts w:hint="eastAsia" w:ascii="Times New Roman" w:hAnsi="Times New Roman" w:cs="宋体"/>
          <w:color w:val="333333"/>
          <w:kern w:val="0"/>
          <w:sz w:val="24"/>
          <w:highlight w:val="none"/>
          <w:lang w:bidi="ar"/>
        </w:rPr>
        <w:t xml:space="preserve">. </w:t>
      </w:r>
      <w:r>
        <w:rPr>
          <w:rStyle w:val="27"/>
          <w:rFonts w:hint="eastAsia" w:ascii="Times New Roman" w:hAnsi="Times New Roman" w:cs="宋体"/>
          <w:color w:val="000000"/>
          <w:sz w:val="24"/>
          <w:highlight w:val="none"/>
        </w:rPr>
        <w:t>为确保校园安全，投标人进入盐城幼儿师范高等专科学校南校区时应服从学校管理措施：</w:t>
      </w:r>
    </w:p>
    <w:p w14:paraId="084A9BD7">
      <w:pPr>
        <w:spacing w:line="440" w:lineRule="exact"/>
        <w:ind w:firstLine="480" w:firstLineChars="200"/>
        <w:jc w:val="left"/>
        <w:rPr>
          <w:rStyle w:val="27"/>
          <w:rFonts w:ascii="Times New Roman" w:hAnsi="Times New Roman" w:cs="宋体"/>
          <w:color w:val="000000"/>
          <w:sz w:val="24"/>
          <w:highlight w:val="none"/>
        </w:rPr>
      </w:pPr>
      <w:r>
        <w:rPr>
          <w:rStyle w:val="27"/>
          <w:rFonts w:hint="eastAsia" w:ascii="Times New Roman" w:hAnsi="Times New Roman" w:cs="宋体"/>
          <w:color w:val="000000"/>
          <w:sz w:val="24"/>
          <w:highlight w:val="none"/>
        </w:rPr>
        <w:t>（1）投标人从蓝海路北门进出；投标人车辆一律不得进入校园。</w:t>
      </w:r>
    </w:p>
    <w:p w14:paraId="1300B006">
      <w:pPr>
        <w:spacing w:line="440" w:lineRule="exact"/>
        <w:ind w:firstLine="480" w:firstLineChars="200"/>
        <w:jc w:val="left"/>
        <w:rPr>
          <w:rStyle w:val="27"/>
          <w:rFonts w:ascii="Times New Roman" w:hAnsi="Times New Roman" w:cs="宋体"/>
          <w:color w:val="000000"/>
          <w:sz w:val="24"/>
          <w:highlight w:val="none"/>
        </w:rPr>
      </w:pPr>
      <w:r>
        <w:rPr>
          <w:rStyle w:val="27"/>
          <w:rFonts w:hint="eastAsia" w:ascii="Times New Roman" w:hAnsi="Times New Roman" w:cs="宋体"/>
          <w:color w:val="000000"/>
          <w:sz w:val="24"/>
          <w:highlight w:val="none"/>
        </w:rPr>
        <w:t>（2）各投标人报名或投标时项目授权代表限1-2人进入校园。</w:t>
      </w:r>
    </w:p>
    <w:p w14:paraId="767685E3">
      <w:pPr>
        <w:spacing w:line="440" w:lineRule="exact"/>
        <w:ind w:firstLine="480" w:firstLineChars="200"/>
        <w:jc w:val="left"/>
        <w:rPr>
          <w:rStyle w:val="27"/>
          <w:rFonts w:ascii="Times New Roman" w:hAnsi="Times New Roman" w:cs="宋体"/>
          <w:color w:val="000000"/>
          <w:sz w:val="24"/>
          <w:highlight w:val="none"/>
        </w:rPr>
      </w:pPr>
      <w:r>
        <w:rPr>
          <w:rStyle w:val="27"/>
          <w:rFonts w:hint="eastAsia" w:ascii="Times New Roman" w:hAnsi="Times New Roman" w:cs="宋体"/>
          <w:color w:val="000000"/>
          <w:sz w:val="24"/>
          <w:highlight w:val="none"/>
        </w:rPr>
        <w:t>（3）投标人进入校园后应在指定地点参与踏勘、投标活动，不得到招标人其他场所活动；投标工作结束后应立即离开校园，不逗留。</w:t>
      </w:r>
    </w:p>
    <w:p w14:paraId="292670EC">
      <w:pPr>
        <w:spacing w:line="440" w:lineRule="exact"/>
        <w:ind w:firstLine="480" w:firstLineChars="200"/>
        <w:jc w:val="left"/>
        <w:rPr>
          <w:rStyle w:val="27"/>
          <w:rFonts w:ascii="Times New Roman" w:hAnsi="Times New Roman" w:cs="宋体"/>
          <w:color w:val="000000"/>
          <w:sz w:val="24"/>
          <w:highlight w:val="none"/>
        </w:rPr>
      </w:pPr>
      <w:r>
        <w:rPr>
          <w:rStyle w:val="27"/>
          <w:rFonts w:hint="eastAsia" w:ascii="Times New Roman" w:hAnsi="Times New Roman" w:cs="宋体"/>
          <w:color w:val="000000"/>
          <w:sz w:val="24"/>
          <w:highlight w:val="none"/>
        </w:rPr>
        <w:t>（4）请各投标人预留好相应时间，配合做好上述管理措施。</w:t>
      </w:r>
    </w:p>
    <w:p w14:paraId="14A5A2DA">
      <w:pPr>
        <w:widowControl/>
        <w:spacing w:line="440" w:lineRule="exact"/>
        <w:ind w:firstLine="482" w:firstLineChars="200"/>
        <w:jc w:val="left"/>
        <w:rPr>
          <w:rFonts w:ascii="Times New Roman" w:hAnsi="Times New Roman" w:cs="宋体"/>
          <w:color w:val="333333"/>
          <w:sz w:val="24"/>
          <w:highlight w:val="none"/>
        </w:rPr>
      </w:pPr>
      <w:r>
        <w:rPr>
          <w:rFonts w:hint="eastAsia" w:ascii="Times New Roman" w:hAnsi="Times New Roman" w:cs="宋体"/>
          <w:b/>
          <w:bCs/>
          <w:color w:val="333333"/>
          <w:kern w:val="0"/>
          <w:sz w:val="24"/>
          <w:highlight w:val="none"/>
          <w:lang w:bidi="ar"/>
        </w:rPr>
        <w:t>七、对本次招标提出询问，请按以下方式联系。</w:t>
      </w:r>
    </w:p>
    <w:bookmarkEnd w:id="10"/>
    <w:p w14:paraId="2391FDD6">
      <w:pPr>
        <w:widowControl/>
        <w:spacing w:line="440" w:lineRule="exact"/>
        <w:ind w:firstLine="482" w:firstLineChars="200"/>
        <w:jc w:val="left"/>
        <w:rPr>
          <w:rFonts w:ascii="Times New Roman" w:hAnsi="Times New Roman" w:cs="宋体"/>
          <w:color w:val="333333"/>
          <w:sz w:val="24"/>
          <w:highlight w:val="none"/>
        </w:rPr>
      </w:pPr>
      <w:bookmarkStart w:id="11" w:name="_Toc35393637"/>
      <w:r>
        <w:rPr>
          <w:rFonts w:hint="eastAsia" w:ascii="Times New Roman" w:hAnsi="Times New Roman" w:cs="宋体"/>
          <w:b/>
          <w:bCs/>
          <w:color w:val="333333"/>
          <w:kern w:val="0"/>
          <w:sz w:val="24"/>
          <w:highlight w:val="none"/>
          <w:lang w:bidi="ar"/>
        </w:rPr>
        <w:t>1. 采购人信息</w:t>
      </w:r>
    </w:p>
    <w:p w14:paraId="5E5C4F78">
      <w:pPr>
        <w:snapToGrid w:val="0"/>
        <w:spacing w:line="440" w:lineRule="exact"/>
        <w:ind w:firstLine="480" w:firstLineChars="200"/>
        <w:rPr>
          <w:rFonts w:ascii="Times New Roman" w:hAnsi="Times New Roman" w:cs="宋体"/>
          <w:bCs/>
          <w:spacing w:val="10"/>
          <w:kern w:val="15"/>
          <w:position w:val="2"/>
          <w:sz w:val="24"/>
          <w:highlight w:val="none"/>
        </w:rPr>
      </w:pPr>
      <w:r>
        <w:rPr>
          <w:rFonts w:hint="eastAsia" w:ascii="Times New Roman" w:hAnsi="Times New Roman" w:cs="宋体"/>
          <w:color w:val="333333"/>
          <w:kern w:val="0"/>
          <w:sz w:val="24"/>
          <w:highlight w:val="none"/>
          <w:lang w:bidi="ar"/>
        </w:rPr>
        <w:t>名  称：</w:t>
      </w:r>
      <w:r>
        <w:rPr>
          <w:rFonts w:hint="eastAsia" w:ascii="Times New Roman" w:hAnsi="Times New Roman" w:cs="宋体"/>
          <w:bCs/>
          <w:spacing w:val="10"/>
          <w:kern w:val="15"/>
          <w:position w:val="2"/>
          <w:sz w:val="24"/>
          <w:highlight w:val="none"/>
        </w:rPr>
        <w:t>盐城幼儿师范高等专科学校</w:t>
      </w:r>
    </w:p>
    <w:p w14:paraId="165A27F4">
      <w:pPr>
        <w:widowControl/>
        <w:spacing w:line="440" w:lineRule="exact"/>
        <w:ind w:firstLine="480" w:firstLineChars="200"/>
        <w:jc w:val="left"/>
        <w:rPr>
          <w:rFonts w:ascii="Times New Roman" w:hAnsi="Times New Roman" w:cs="宋体"/>
          <w:color w:val="333333"/>
          <w:sz w:val="24"/>
          <w:highlight w:val="none"/>
        </w:rPr>
      </w:pPr>
      <w:r>
        <w:rPr>
          <w:rFonts w:hint="eastAsia" w:ascii="Times New Roman" w:hAnsi="Times New Roman" w:cs="宋体"/>
          <w:color w:val="333333"/>
          <w:kern w:val="0"/>
          <w:sz w:val="24"/>
          <w:highlight w:val="none"/>
          <w:lang w:bidi="ar"/>
        </w:rPr>
        <w:t>地  址：</w:t>
      </w:r>
      <w:r>
        <w:rPr>
          <w:rFonts w:hint="eastAsia" w:ascii="Times New Roman" w:hAnsi="Times New Roman" w:cs="宋体"/>
          <w:kern w:val="15"/>
          <w:position w:val="2"/>
          <w:sz w:val="24"/>
          <w:highlight w:val="none"/>
        </w:rPr>
        <w:t>盐城市学海路28号</w:t>
      </w:r>
    </w:p>
    <w:p w14:paraId="5818B1D8">
      <w:pPr>
        <w:widowControl/>
        <w:spacing w:line="440" w:lineRule="exact"/>
        <w:ind w:firstLine="480" w:firstLineChars="200"/>
        <w:jc w:val="left"/>
        <w:rPr>
          <w:rFonts w:ascii="Times New Roman" w:hAnsi="Times New Roman" w:cs="宋体"/>
          <w:color w:val="333333"/>
          <w:sz w:val="24"/>
          <w:highlight w:val="none"/>
        </w:rPr>
      </w:pPr>
      <w:r>
        <w:rPr>
          <w:rFonts w:hint="eastAsia" w:ascii="Times New Roman" w:hAnsi="Times New Roman" w:cs="宋体"/>
          <w:color w:val="333333"/>
          <w:kern w:val="0"/>
          <w:sz w:val="24"/>
          <w:highlight w:val="none"/>
          <w:lang w:bidi="ar"/>
        </w:rPr>
        <w:t>联 系 人：周老师  </w:t>
      </w:r>
    </w:p>
    <w:p w14:paraId="14D04260">
      <w:pPr>
        <w:widowControl/>
        <w:spacing w:line="440" w:lineRule="exact"/>
        <w:ind w:firstLine="480" w:firstLineChars="200"/>
        <w:jc w:val="left"/>
        <w:rPr>
          <w:rFonts w:ascii="Times New Roman" w:hAnsi="Times New Roman" w:cs="宋体"/>
          <w:color w:val="333333"/>
          <w:sz w:val="24"/>
          <w:highlight w:val="none"/>
        </w:rPr>
      </w:pPr>
      <w:r>
        <w:rPr>
          <w:rFonts w:hint="eastAsia" w:ascii="Times New Roman" w:hAnsi="Times New Roman" w:cs="宋体"/>
          <w:color w:val="333333"/>
          <w:kern w:val="0"/>
          <w:sz w:val="24"/>
          <w:highlight w:val="none"/>
          <w:lang w:bidi="ar"/>
        </w:rPr>
        <w:t>电  话：</w:t>
      </w:r>
      <w:r>
        <w:rPr>
          <w:rFonts w:hint="eastAsia" w:ascii="Times New Roman" w:hAnsi="Times New Roman" w:cs="宋体"/>
          <w:color w:val="000000"/>
          <w:sz w:val="24"/>
          <w:highlight w:val="none"/>
        </w:rPr>
        <w:t>0515-89966103</w:t>
      </w:r>
    </w:p>
    <w:bookmarkEnd w:id="11"/>
    <w:p w14:paraId="6D3F854F">
      <w:pPr>
        <w:widowControl/>
        <w:spacing w:line="440" w:lineRule="exact"/>
        <w:ind w:firstLine="482" w:firstLineChars="200"/>
        <w:jc w:val="left"/>
        <w:rPr>
          <w:rFonts w:ascii="Times New Roman" w:hAnsi="Times New Roman" w:cs="宋体"/>
          <w:color w:val="333333"/>
          <w:sz w:val="24"/>
          <w:highlight w:val="none"/>
        </w:rPr>
      </w:pPr>
      <w:bookmarkStart w:id="12" w:name="_Toc35393807"/>
      <w:r>
        <w:rPr>
          <w:rFonts w:hint="eastAsia" w:ascii="Times New Roman" w:hAnsi="Times New Roman" w:cs="宋体"/>
          <w:b/>
          <w:bCs/>
          <w:color w:val="333333"/>
          <w:kern w:val="0"/>
          <w:sz w:val="24"/>
          <w:highlight w:val="none"/>
          <w:lang w:bidi="ar"/>
        </w:rPr>
        <w:t>2. 采购代理机构信息</w:t>
      </w:r>
    </w:p>
    <w:p w14:paraId="547ECEC1">
      <w:pPr>
        <w:widowControl/>
        <w:spacing w:line="440" w:lineRule="exact"/>
        <w:ind w:firstLine="480" w:firstLineChars="200"/>
        <w:jc w:val="left"/>
        <w:rPr>
          <w:rFonts w:ascii="Times New Roman" w:hAnsi="Times New Roman" w:cs="宋体"/>
          <w:color w:val="333333"/>
          <w:sz w:val="24"/>
          <w:highlight w:val="none"/>
        </w:rPr>
      </w:pPr>
      <w:r>
        <w:rPr>
          <w:rFonts w:hint="eastAsia" w:ascii="Times New Roman" w:hAnsi="Times New Roman" w:cs="宋体"/>
          <w:color w:val="333333"/>
          <w:kern w:val="0"/>
          <w:sz w:val="24"/>
          <w:highlight w:val="none"/>
          <w:lang w:bidi="ar"/>
        </w:rPr>
        <w:t>名  称：</w:t>
      </w:r>
      <w:r>
        <w:rPr>
          <w:rFonts w:hint="eastAsia" w:ascii="Times New Roman" w:hAnsi="Times New Roman" w:cs="宋体"/>
          <w:kern w:val="15"/>
          <w:position w:val="2"/>
          <w:sz w:val="24"/>
          <w:highlight w:val="none"/>
        </w:rPr>
        <w:t>江苏宏天工程管理有限公司</w:t>
      </w:r>
      <w:r>
        <w:rPr>
          <w:rFonts w:hint="eastAsia" w:ascii="Times New Roman" w:hAnsi="Times New Roman" w:cs="宋体"/>
          <w:color w:val="333333"/>
          <w:kern w:val="0"/>
          <w:sz w:val="24"/>
          <w:highlight w:val="none"/>
          <w:lang w:bidi="ar"/>
        </w:rPr>
        <w:t>　　</w:t>
      </w:r>
    </w:p>
    <w:p w14:paraId="4B9BD0A3">
      <w:pPr>
        <w:widowControl/>
        <w:spacing w:line="440" w:lineRule="exact"/>
        <w:ind w:firstLine="480" w:firstLineChars="200"/>
        <w:jc w:val="left"/>
        <w:rPr>
          <w:rFonts w:ascii="Times New Roman" w:hAnsi="Times New Roman" w:cs="宋体"/>
          <w:color w:val="333333"/>
          <w:sz w:val="24"/>
          <w:highlight w:val="none"/>
        </w:rPr>
      </w:pPr>
      <w:r>
        <w:rPr>
          <w:rFonts w:hint="eastAsia" w:ascii="Times New Roman" w:hAnsi="Times New Roman" w:cs="宋体"/>
          <w:color w:val="333333"/>
          <w:kern w:val="0"/>
          <w:sz w:val="24"/>
          <w:highlight w:val="none"/>
          <w:lang w:bidi="ar"/>
        </w:rPr>
        <w:t>地　　址：盐城市鹿鸣路988号金航财富大厦17楼</w:t>
      </w:r>
    </w:p>
    <w:p w14:paraId="65FA47B9">
      <w:pPr>
        <w:widowControl/>
        <w:spacing w:line="440" w:lineRule="exact"/>
        <w:ind w:firstLine="480" w:firstLineChars="200"/>
        <w:jc w:val="left"/>
        <w:rPr>
          <w:rFonts w:ascii="Times New Roman" w:hAnsi="Times New Roman" w:cs="宋体"/>
          <w:color w:val="333333"/>
          <w:sz w:val="24"/>
          <w:highlight w:val="none"/>
        </w:rPr>
      </w:pPr>
      <w:r>
        <w:rPr>
          <w:rFonts w:hint="eastAsia" w:ascii="Times New Roman" w:hAnsi="Times New Roman" w:cs="宋体"/>
          <w:color w:val="333333"/>
          <w:kern w:val="0"/>
          <w:sz w:val="24"/>
          <w:highlight w:val="none"/>
          <w:lang w:bidi="ar"/>
        </w:rPr>
        <w:t>联 系 人：郑艳      </w:t>
      </w:r>
    </w:p>
    <w:p w14:paraId="24CD7EDF">
      <w:pPr>
        <w:widowControl/>
        <w:spacing w:line="440" w:lineRule="exact"/>
        <w:ind w:firstLine="480" w:firstLineChars="200"/>
        <w:jc w:val="left"/>
        <w:rPr>
          <w:rFonts w:ascii="Times New Roman" w:hAnsi="Times New Roman" w:cs="宋体"/>
          <w:color w:val="333333"/>
          <w:sz w:val="24"/>
          <w:highlight w:val="none"/>
        </w:rPr>
      </w:pPr>
      <w:r>
        <w:rPr>
          <w:rFonts w:hint="eastAsia" w:ascii="Times New Roman" w:hAnsi="Times New Roman" w:cs="宋体"/>
          <w:color w:val="333333"/>
          <w:kern w:val="0"/>
          <w:sz w:val="24"/>
          <w:highlight w:val="none"/>
          <w:lang w:bidi="ar"/>
        </w:rPr>
        <w:t>联系电话：18005108312</w:t>
      </w:r>
    </w:p>
    <w:p w14:paraId="1CFD023B">
      <w:pPr>
        <w:widowControl/>
        <w:spacing w:line="440" w:lineRule="exact"/>
        <w:ind w:firstLine="482" w:firstLineChars="200"/>
        <w:jc w:val="left"/>
        <w:rPr>
          <w:rFonts w:ascii="Times New Roman" w:hAnsi="Times New Roman" w:cs="宋体"/>
          <w:color w:val="333333"/>
          <w:sz w:val="24"/>
          <w:highlight w:val="none"/>
        </w:rPr>
      </w:pPr>
      <w:r>
        <w:rPr>
          <w:rFonts w:hint="eastAsia" w:ascii="Times New Roman" w:hAnsi="Times New Roman" w:cs="宋体"/>
          <w:b/>
          <w:bCs/>
          <w:color w:val="333333"/>
          <w:kern w:val="0"/>
          <w:sz w:val="24"/>
          <w:highlight w:val="none"/>
          <w:lang w:bidi="ar"/>
        </w:rPr>
        <w:t>3. 项目联系方式</w:t>
      </w:r>
    </w:p>
    <w:p w14:paraId="579748D5">
      <w:pPr>
        <w:widowControl/>
        <w:spacing w:line="440" w:lineRule="exact"/>
        <w:ind w:firstLine="480" w:firstLineChars="200"/>
        <w:jc w:val="left"/>
        <w:rPr>
          <w:rFonts w:ascii="Times New Roman" w:hAnsi="Times New Roman" w:cs="宋体"/>
          <w:color w:val="333333"/>
          <w:sz w:val="24"/>
          <w:highlight w:val="none"/>
        </w:rPr>
      </w:pPr>
      <w:r>
        <w:rPr>
          <w:rFonts w:hint="eastAsia" w:ascii="Times New Roman" w:hAnsi="Times New Roman" w:cs="宋体"/>
          <w:color w:val="333333"/>
          <w:kern w:val="0"/>
          <w:sz w:val="24"/>
          <w:highlight w:val="none"/>
          <w:lang w:bidi="ar"/>
        </w:rPr>
        <w:t>联系人：</w:t>
      </w:r>
      <w:r>
        <w:rPr>
          <w:rFonts w:hint="eastAsia" w:ascii="Times New Roman" w:hAnsi="Times New Roman" w:cs="宋体"/>
          <w:color w:val="333333"/>
          <w:kern w:val="0"/>
          <w:sz w:val="24"/>
          <w:highlight w:val="none"/>
          <w:lang w:val="en-US" w:eastAsia="zh-CN" w:bidi="ar"/>
        </w:rPr>
        <w:t>黄</w:t>
      </w:r>
      <w:r>
        <w:rPr>
          <w:rFonts w:hint="eastAsia" w:ascii="Times New Roman" w:hAnsi="Times New Roman" w:cs="宋体"/>
          <w:color w:val="333333"/>
          <w:kern w:val="0"/>
          <w:sz w:val="24"/>
          <w:highlight w:val="none"/>
          <w:lang w:bidi="ar"/>
        </w:rPr>
        <w:t>老师</w:t>
      </w:r>
    </w:p>
    <w:p w14:paraId="70E12609">
      <w:pPr>
        <w:widowControl/>
        <w:spacing w:line="440" w:lineRule="exact"/>
        <w:ind w:firstLine="480" w:firstLineChars="200"/>
        <w:jc w:val="left"/>
        <w:rPr>
          <w:rFonts w:hint="default" w:ascii="Times New Roman" w:hAnsi="Times New Roman" w:cs="宋体" w:eastAsiaTheme="minorEastAsia"/>
          <w:color w:val="333333"/>
          <w:kern w:val="0"/>
          <w:sz w:val="24"/>
          <w:highlight w:val="none"/>
          <w:lang w:val="en-US" w:eastAsia="zh-CN" w:bidi="ar"/>
        </w:rPr>
      </w:pPr>
      <w:r>
        <w:rPr>
          <w:rFonts w:hint="eastAsia" w:ascii="Times New Roman" w:hAnsi="Times New Roman" w:cs="宋体"/>
          <w:color w:val="333333"/>
          <w:kern w:val="0"/>
          <w:sz w:val="24"/>
          <w:highlight w:val="none"/>
          <w:lang w:bidi="ar"/>
        </w:rPr>
        <w:t>联系电话：</w:t>
      </w:r>
      <w:r>
        <w:rPr>
          <w:rFonts w:hint="eastAsia" w:ascii="Times New Roman" w:hAnsi="Times New Roman" w:cs="宋体"/>
          <w:color w:val="000000"/>
          <w:sz w:val="24"/>
          <w:highlight w:val="none"/>
          <w:lang w:val="en-US" w:eastAsia="zh-CN"/>
        </w:rPr>
        <w:t>15380508044</w:t>
      </w:r>
    </w:p>
    <w:p w14:paraId="578CF72F">
      <w:pPr>
        <w:widowControl/>
        <w:spacing w:line="440" w:lineRule="exact"/>
        <w:ind w:firstLine="480" w:firstLineChars="200"/>
        <w:jc w:val="left"/>
        <w:rPr>
          <w:rFonts w:ascii="Times New Roman" w:hAnsi="Times New Roman" w:cs="宋体"/>
          <w:color w:val="333333"/>
          <w:kern w:val="0"/>
          <w:sz w:val="24"/>
          <w:highlight w:val="none"/>
          <w:lang w:bidi="ar"/>
        </w:rPr>
      </w:pPr>
    </w:p>
    <w:bookmarkEnd w:id="12"/>
    <w:p w14:paraId="4E0DEE2B">
      <w:pPr>
        <w:spacing w:line="440" w:lineRule="exact"/>
        <w:ind w:firstLine="480" w:firstLineChars="200"/>
        <w:jc w:val="left"/>
        <w:rPr>
          <w:rFonts w:hint="eastAsia" w:ascii="Times New Roman" w:hAnsi="Times New Roman" w:cs="宋体"/>
          <w:kern w:val="15"/>
          <w:position w:val="2"/>
          <w:sz w:val="24"/>
          <w:highlight w:val="none"/>
        </w:rPr>
      </w:pPr>
      <w:r>
        <w:rPr>
          <w:rFonts w:hint="eastAsia" w:ascii="Times New Roman" w:hAnsi="Times New Roman" w:cs="宋体"/>
          <w:kern w:val="15"/>
          <w:position w:val="2"/>
          <w:sz w:val="24"/>
          <w:highlight w:val="none"/>
        </w:rPr>
        <w:t>对项目需求部分的询问、质疑请与采购人联系、答复；其他部分的询问、质疑请与代理机构联系、答复。</w:t>
      </w:r>
    </w:p>
    <w:p w14:paraId="050D7879">
      <w:pPr>
        <w:pStyle w:val="13"/>
        <w:widowControl/>
        <w:spacing w:line="640" w:lineRule="exact"/>
        <w:jc w:val="center"/>
        <w:outlineLvl w:val="0"/>
        <w:rPr>
          <w:rFonts w:ascii="Times New Roman" w:hAnsi="Times New Roman" w:eastAsia="方正小标宋_GBK"/>
          <w:color w:val="000000"/>
          <w:w w:val="95"/>
          <w:sz w:val="44"/>
          <w:szCs w:val="44"/>
          <w:highlight w:val="none"/>
        </w:rPr>
      </w:pPr>
      <w:bookmarkStart w:id="13" w:name="_Toc162856086"/>
      <w:r>
        <w:rPr>
          <w:rFonts w:hint="eastAsia" w:ascii="Times New Roman" w:hAnsi="Times New Roman" w:eastAsia="方正小标宋_GBK"/>
          <w:color w:val="000000"/>
          <w:w w:val="95"/>
          <w:sz w:val="44"/>
          <w:szCs w:val="44"/>
          <w:highlight w:val="none"/>
        </w:rPr>
        <w:t>第二部分  供应商须知</w:t>
      </w:r>
      <w:bookmarkEnd w:id="13"/>
    </w:p>
    <w:p w14:paraId="7E9EAEA9">
      <w:pPr>
        <w:spacing w:line="440" w:lineRule="exact"/>
        <w:ind w:firstLine="482" w:firstLineChars="200"/>
        <w:rPr>
          <w:rFonts w:ascii="Times New Roman" w:hAnsi="Times New Roman" w:cs="宋体"/>
          <w:b/>
          <w:bCs/>
          <w:sz w:val="24"/>
          <w:highlight w:val="none"/>
        </w:rPr>
      </w:pPr>
      <w:bookmarkStart w:id="14" w:name="_Toc120614214"/>
      <w:bookmarkStart w:id="15" w:name="_Toc513029203"/>
      <w:bookmarkStart w:id="16" w:name="_Toc20823275"/>
      <w:bookmarkStart w:id="17" w:name="_Toc16938519"/>
      <w:r>
        <w:rPr>
          <w:rFonts w:ascii="Times New Roman" w:hAnsi="Times New Roman" w:cs="宋体"/>
          <w:b/>
          <w:bCs/>
          <w:sz w:val="24"/>
          <w:highlight w:val="none"/>
        </w:rPr>
        <w:t>一、总则</w:t>
      </w:r>
      <w:bookmarkEnd w:id="14"/>
      <w:bookmarkEnd w:id="15"/>
      <w:bookmarkEnd w:id="16"/>
      <w:bookmarkEnd w:id="17"/>
    </w:p>
    <w:p w14:paraId="08EABD18">
      <w:pPr>
        <w:spacing w:line="440" w:lineRule="exact"/>
        <w:ind w:firstLine="480" w:firstLineChars="200"/>
        <w:rPr>
          <w:rFonts w:ascii="Times New Roman" w:hAnsi="Times New Roman" w:cs="宋体"/>
          <w:sz w:val="24"/>
          <w:highlight w:val="none"/>
        </w:rPr>
      </w:pPr>
      <w:bookmarkStart w:id="18" w:name="_Toc20823276"/>
      <w:bookmarkStart w:id="19" w:name="_Toc458694821"/>
      <w:bookmarkStart w:id="20" w:name="_Toc16938520"/>
      <w:bookmarkStart w:id="21" w:name="_Toc513029204"/>
      <w:r>
        <w:rPr>
          <w:rFonts w:ascii="Times New Roman" w:hAnsi="Times New Roman" w:cs="宋体"/>
          <w:sz w:val="24"/>
          <w:highlight w:val="none"/>
        </w:rPr>
        <w:t>1</w:t>
      </w:r>
      <w:bookmarkEnd w:id="18"/>
      <w:r>
        <w:rPr>
          <w:rFonts w:ascii="Times New Roman" w:hAnsi="Times New Roman" w:cs="宋体"/>
          <w:sz w:val="24"/>
          <w:highlight w:val="none"/>
        </w:rPr>
        <w:t>、采购方式</w:t>
      </w:r>
      <w:bookmarkEnd w:id="19"/>
      <w:bookmarkEnd w:id="20"/>
      <w:bookmarkEnd w:id="21"/>
    </w:p>
    <w:p w14:paraId="12461869">
      <w:pPr>
        <w:spacing w:line="440" w:lineRule="exact"/>
        <w:ind w:firstLine="480" w:firstLineChars="200"/>
        <w:rPr>
          <w:rFonts w:ascii="Times New Roman" w:hAnsi="Times New Roman" w:cs="宋体"/>
          <w:sz w:val="24"/>
          <w:highlight w:val="none"/>
        </w:rPr>
      </w:pPr>
      <w:r>
        <w:rPr>
          <w:rFonts w:hint="eastAsia" w:ascii="Times New Roman" w:hAnsi="Times New Roman" w:cs="宋体"/>
          <w:sz w:val="24"/>
          <w:highlight w:val="none"/>
        </w:rPr>
        <w:t>1.1 本次政府采购活动采取竞争性询价(以下简称询价)方式，本询价文件仅适用于询价公告中所述项目。</w:t>
      </w:r>
    </w:p>
    <w:p w14:paraId="555FD855">
      <w:pPr>
        <w:spacing w:line="440" w:lineRule="exact"/>
        <w:ind w:firstLine="480" w:firstLineChars="200"/>
        <w:rPr>
          <w:rFonts w:ascii="Times New Roman" w:hAnsi="Times New Roman" w:cs="宋体"/>
          <w:sz w:val="24"/>
          <w:highlight w:val="none"/>
        </w:rPr>
      </w:pPr>
      <w:bookmarkStart w:id="22" w:name="_Toc16938521"/>
      <w:bookmarkStart w:id="23" w:name="_Toc20823277"/>
      <w:bookmarkStart w:id="24" w:name="_Toc513029205"/>
      <w:r>
        <w:rPr>
          <w:rFonts w:ascii="Times New Roman" w:hAnsi="Times New Roman" w:cs="宋体"/>
          <w:sz w:val="24"/>
          <w:highlight w:val="none"/>
        </w:rPr>
        <w:t>2、合格的</w:t>
      </w:r>
      <w:bookmarkEnd w:id="22"/>
      <w:bookmarkEnd w:id="23"/>
      <w:bookmarkEnd w:id="24"/>
      <w:r>
        <w:rPr>
          <w:rFonts w:ascii="Times New Roman" w:hAnsi="Times New Roman" w:cs="宋体"/>
          <w:sz w:val="24"/>
          <w:highlight w:val="none"/>
        </w:rPr>
        <w:t>供应商</w:t>
      </w:r>
    </w:p>
    <w:p w14:paraId="14CDD551">
      <w:pPr>
        <w:spacing w:line="440" w:lineRule="exact"/>
        <w:ind w:firstLine="480" w:firstLineChars="200"/>
        <w:rPr>
          <w:rFonts w:ascii="Times New Roman" w:hAnsi="Times New Roman" w:cs="宋体"/>
          <w:sz w:val="24"/>
          <w:highlight w:val="none"/>
        </w:rPr>
      </w:pPr>
      <w:r>
        <w:rPr>
          <w:rFonts w:hint="eastAsia" w:ascii="Times New Roman" w:hAnsi="Times New Roman" w:cs="宋体"/>
          <w:sz w:val="24"/>
          <w:highlight w:val="none"/>
        </w:rPr>
        <w:t>2.1满足询价公告中供应商资格要求的规定。</w:t>
      </w:r>
    </w:p>
    <w:p w14:paraId="09722DB5">
      <w:pPr>
        <w:spacing w:line="440" w:lineRule="exact"/>
        <w:ind w:firstLine="480" w:firstLineChars="200"/>
        <w:rPr>
          <w:rFonts w:ascii="Times New Roman" w:hAnsi="Times New Roman" w:cs="宋体"/>
          <w:sz w:val="24"/>
          <w:highlight w:val="none"/>
        </w:rPr>
      </w:pPr>
      <w:r>
        <w:rPr>
          <w:rFonts w:hint="eastAsia" w:ascii="Times New Roman" w:hAnsi="Times New Roman" w:cs="宋体"/>
          <w:sz w:val="24"/>
          <w:highlight w:val="none"/>
        </w:rPr>
        <w:t>2.2 满足本询价文件实质性要求和条件的规定。</w:t>
      </w:r>
    </w:p>
    <w:p w14:paraId="05C11826">
      <w:pPr>
        <w:spacing w:line="440" w:lineRule="exact"/>
        <w:ind w:firstLine="480" w:firstLineChars="200"/>
        <w:rPr>
          <w:rFonts w:ascii="Times New Roman" w:hAnsi="Times New Roman" w:cs="宋体"/>
          <w:sz w:val="24"/>
          <w:highlight w:val="none"/>
        </w:rPr>
      </w:pPr>
      <w:bookmarkStart w:id="25" w:name="_Toc16938522"/>
      <w:bookmarkStart w:id="26" w:name="_Toc20823278"/>
      <w:bookmarkStart w:id="27" w:name="_Toc513029206"/>
      <w:r>
        <w:rPr>
          <w:rFonts w:ascii="Times New Roman" w:hAnsi="Times New Roman" w:cs="宋体"/>
          <w:sz w:val="24"/>
          <w:highlight w:val="none"/>
        </w:rPr>
        <w:t>3、适用法律</w:t>
      </w:r>
      <w:bookmarkEnd w:id="25"/>
      <w:bookmarkEnd w:id="26"/>
      <w:bookmarkEnd w:id="27"/>
    </w:p>
    <w:p w14:paraId="5C488FEF">
      <w:pPr>
        <w:spacing w:line="440" w:lineRule="exact"/>
        <w:ind w:firstLine="480" w:firstLineChars="200"/>
        <w:rPr>
          <w:rFonts w:ascii="Times New Roman" w:hAnsi="Times New Roman" w:cs="宋体"/>
          <w:sz w:val="24"/>
          <w:highlight w:val="none"/>
        </w:rPr>
      </w:pPr>
      <w:r>
        <w:rPr>
          <w:rFonts w:hint="eastAsia" w:ascii="Times New Roman" w:hAnsi="Times New Roman" w:cs="宋体"/>
          <w:sz w:val="24"/>
          <w:highlight w:val="none"/>
        </w:rPr>
        <w:t>3.1 本次询价及由此产生的合同受中华人民共和国有关的法律法规制约和保护。</w:t>
      </w:r>
    </w:p>
    <w:p w14:paraId="77A52D38">
      <w:pPr>
        <w:spacing w:line="440" w:lineRule="exact"/>
        <w:ind w:firstLine="480" w:firstLineChars="200"/>
        <w:rPr>
          <w:rFonts w:ascii="Times New Roman" w:hAnsi="Times New Roman" w:cs="宋体"/>
          <w:sz w:val="24"/>
          <w:highlight w:val="none"/>
        </w:rPr>
      </w:pPr>
      <w:bookmarkStart w:id="28" w:name="_Toc513029207"/>
      <w:bookmarkStart w:id="29" w:name="_Toc462564067"/>
      <w:bookmarkStart w:id="30" w:name="_Toc20823279"/>
      <w:bookmarkStart w:id="31" w:name="_Toc16938523"/>
      <w:r>
        <w:rPr>
          <w:rFonts w:ascii="Times New Roman" w:hAnsi="Times New Roman" w:cs="宋体"/>
          <w:sz w:val="24"/>
          <w:highlight w:val="none"/>
        </w:rPr>
        <w:t>4、</w:t>
      </w:r>
      <w:r>
        <w:rPr>
          <w:rFonts w:hint="eastAsia" w:ascii="Times New Roman" w:hAnsi="Times New Roman" w:cs="宋体"/>
          <w:sz w:val="24"/>
          <w:highlight w:val="none"/>
        </w:rPr>
        <w:t>询价</w:t>
      </w:r>
      <w:r>
        <w:rPr>
          <w:rFonts w:ascii="Times New Roman" w:hAnsi="Times New Roman" w:cs="宋体"/>
          <w:sz w:val="24"/>
          <w:highlight w:val="none"/>
        </w:rPr>
        <w:t>费用</w:t>
      </w:r>
      <w:bookmarkEnd w:id="28"/>
      <w:bookmarkEnd w:id="29"/>
      <w:bookmarkEnd w:id="30"/>
      <w:bookmarkEnd w:id="31"/>
    </w:p>
    <w:p w14:paraId="4B166DF5">
      <w:pPr>
        <w:pStyle w:val="22"/>
        <w:spacing w:line="440" w:lineRule="exact"/>
        <w:ind w:firstLine="480" w:firstLineChars="200"/>
        <w:jc w:val="both"/>
        <w:rPr>
          <w:rFonts w:hint="eastAsia" w:cs="宋体" w:eastAsiaTheme="minorEastAsia"/>
          <w:color w:val="auto"/>
          <w:kern w:val="15"/>
          <w:position w:val="2"/>
          <w:highlight w:val="none"/>
        </w:rPr>
      </w:pPr>
      <w:r>
        <w:rPr>
          <w:rFonts w:hint="eastAsia" w:cs="宋体" w:eastAsiaTheme="minorEastAsia"/>
          <w:color w:val="auto"/>
          <w:kern w:val="15"/>
          <w:position w:val="2"/>
          <w:highlight w:val="none"/>
        </w:rPr>
        <w:t>4.1 参加询价供应商应自行承担所有与参加询价有关的费用，无论询价过程中的做法和结果如何，盐城幼儿师范高等专科学校（以下简称采购人）在任何情况下均无义务和责任承担这些费用。</w:t>
      </w:r>
    </w:p>
    <w:p w14:paraId="50FEB1D5">
      <w:pPr>
        <w:pStyle w:val="22"/>
        <w:spacing w:line="440" w:lineRule="exact"/>
        <w:ind w:firstLine="482" w:firstLineChars="200"/>
        <w:jc w:val="both"/>
        <w:rPr>
          <w:rFonts w:hint="eastAsia" w:cs="宋体" w:eastAsiaTheme="minorEastAsia"/>
          <w:color w:val="auto"/>
          <w:kern w:val="15"/>
          <w:position w:val="2"/>
          <w:highlight w:val="none"/>
        </w:rPr>
      </w:pPr>
      <w:r>
        <w:rPr>
          <w:rFonts w:hint="eastAsia" w:ascii="宋体" w:hAnsi="宋体" w:eastAsia="宋体" w:cs="宋体"/>
          <w:b/>
          <w:bCs/>
          <w:sz w:val="24"/>
          <w:szCs w:val="24"/>
          <w:highlight w:val="none"/>
          <w:lang w:val="en-US" w:eastAsia="zh-CN"/>
        </w:rPr>
        <w:t>4.2</w:t>
      </w:r>
      <w:r>
        <w:rPr>
          <w:rFonts w:hint="eastAsia" w:ascii="宋体" w:hAnsi="宋体" w:eastAsia="宋体" w:cs="宋体"/>
          <w:b/>
          <w:bCs/>
          <w:sz w:val="24"/>
          <w:szCs w:val="24"/>
          <w:highlight w:val="none"/>
          <w:lang w:eastAsia="zh-CN"/>
        </w:rPr>
        <w:t>本项目招标代理费为4000元计，由中标人支付。投标人在报价时将招标代理费综合考虑进投标报价中（不单独列项），中标后领取中标通知书前由中标人向招标代理机构缴纳。</w:t>
      </w:r>
    </w:p>
    <w:p w14:paraId="0BE86C3F">
      <w:pPr>
        <w:spacing w:line="440" w:lineRule="exact"/>
        <w:ind w:firstLine="480" w:firstLineChars="200"/>
        <w:rPr>
          <w:rFonts w:ascii="Times New Roman" w:hAnsi="Times New Roman" w:cs="宋体"/>
          <w:sz w:val="24"/>
          <w:highlight w:val="none"/>
        </w:rPr>
      </w:pPr>
      <w:r>
        <w:rPr>
          <w:rFonts w:hint="eastAsia" w:ascii="Times New Roman" w:hAnsi="Times New Roman" w:cs="宋体"/>
          <w:sz w:val="24"/>
          <w:highlight w:val="none"/>
        </w:rPr>
        <w:t>5、询价文件的约束力</w:t>
      </w:r>
    </w:p>
    <w:p w14:paraId="471EFEF9">
      <w:pPr>
        <w:spacing w:line="440" w:lineRule="exact"/>
        <w:ind w:firstLine="480" w:firstLineChars="200"/>
        <w:rPr>
          <w:rFonts w:ascii="Times New Roman" w:hAnsi="Times New Roman" w:cs="宋体"/>
          <w:sz w:val="24"/>
          <w:highlight w:val="none"/>
        </w:rPr>
      </w:pPr>
      <w:r>
        <w:rPr>
          <w:rFonts w:hint="eastAsia" w:ascii="Times New Roman" w:hAnsi="Times New Roman" w:cs="宋体"/>
          <w:sz w:val="24"/>
          <w:highlight w:val="none"/>
        </w:rPr>
        <w:t>5.1供应商一旦参加本项目采购活动，即被认为接受了本询价文件的规定和约束。</w:t>
      </w:r>
    </w:p>
    <w:p w14:paraId="1048AFF4">
      <w:pPr>
        <w:spacing w:line="440" w:lineRule="exact"/>
        <w:ind w:firstLine="482" w:firstLineChars="200"/>
        <w:rPr>
          <w:rFonts w:ascii="Times New Roman" w:hAnsi="Times New Roman" w:cs="宋体"/>
          <w:b/>
          <w:bCs/>
          <w:sz w:val="24"/>
          <w:highlight w:val="none"/>
        </w:rPr>
      </w:pPr>
      <w:bookmarkStart w:id="32" w:name="_Toc20823281"/>
      <w:bookmarkStart w:id="33" w:name="_Toc120614215"/>
      <w:bookmarkStart w:id="34" w:name="_Toc16938525"/>
      <w:bookmarkStart w:id="35" w:name="_Toc513029209"/>
      <w:r>
        <w:rPr>
          <w:rFonts w:ascii="Times New Roman" w:hAnsi="Times New Roman" w:cs="宋体"/>
          <w:b/>
          <w:bCs/>
          <w:sz w:val="24"/>
          <w:highlight w:val="none"/>
        </w:rPr>
        <w:t>二、</w:t>
      </w:r>
      <w:bookmarkEnd w:id="32"/>
      <w:bookmarkEnd w:id="33"/>
      <w:bookmarkEnd w:id="34"/>
      <w:bookmarkEnd w:id="35"/>
      <w:r>
        <w:rPr>
          <w:rFonts w:hint="eastAsia" w:ascii="Times New Roman" w:hAnsi="Times New Roman" w:cs="宋体"/>
          <w:b/>
          <w:bCs/>
          <w:sz w:val="24"/>
          <w:highlight w:val="none"/>
        </w:rPr>
        <w:t>询价</w:t>
      </w:r>
      <w:r>
        <w:rPr>
          <w:rFonts w:ascii="Times New Roman" w:hAnsi="Times New Roman" w:cs="宋体"/>
          <w:b/>
          <w:bCs/>
          <w:sz w:val="24"/>
          <w:highlight w:val="none"/>
        </w:rPr>
        <w:t>文件</w:t>
      </w:r>
    </w:p>
    <w:p w14:paraId="4656FFD2">
      <w:pPr>
        <w:spacing w:line="440" w:lineRule="exact"/>
        <w:ind w:firstLine="480" w:firstLineChars="200"/>
        <w:rPr>
          <w:rFonts w:ascii="Times New Roman" w:hAnsi="Times New Roman" w:cs="宋体"/>
          <w:sz w:val="24"/>
          <w:highlight w:val="none"/>
        </w:rPr>
      </w:pPr>
      <w:bookmarkStart w:id="36" w:name="_Toc20823282"/>
      <w:bookmarkStart w:id="37" w:name="_Toc16938526"/>
      <w:bookmarkStart w:id="38" w:name="_Toc513029210"/>
      <w:r>
        <w:rPr>
          <w:rFonts w:ascii="Times New Roman" w:hAnsi="Times New Roman" w:cs="宋体"/>
          <w:sz w:val="24"/>
          <w:highlight w:val="none"/>
        </w:rPr>
        <w:t>6、</w:t>
      </w:r>
      <w:r>
        <w:rPr>
          <w:rFonts w:hint="eastAsia" w:ascii="Times New Roman" w:hAnsi="Times New Roman" w:cs="宋体"/>
          <w:sz w:val="24"/>
          <w:highlight w:val="none"/>
        </w:rPr>
        <w:t>询价</w:t>
      </w:r>
      <w:r>
        <w:rPr>
          <w:rFonts w:ascii="Times New Roman" w:hAnsi="Times New Roman" w:cs="宋体"/>
          <w:sz w:val="24"/>
          <w:highlight w:val="none"/>
        </w:rPr>
        <w:t>文件构成</w:t>
      </w:r>
      <w:bookmarkEnd w:id="36"/>
      <w:bookmarkEnd w:id="37"/>
      <w:bookmarkEnd w:id="38"/>
    </w:p>
    <w:p w14:paraId="59342981">
      <w:pPr>
        <w:spacing w:line="440" w:lineRule="exact"/>
        <w:ind w:firstLine="480" w:firstLineChars="200"/>
        <w:rPr>
          <w:rFonts w:ascii="Times New Roman" w:hAnsi="Times New Roman" w:cs="宋体"/>
          <w:sz w:val="24"/>
          <w:highlight w:val="none"/>
        </w:rPr>
      </w:pPr>
      <w:r>
        <w:rPr>
          <w:rFonts w:hint="eastAsia" w:ascii="Times New Roman" w:hAnsi="Times New Roman" w:cs="宋体"/>
          <w:sz w:val="24"/>
          <w:highlight w:val="none"/>
        </w:rPr>
        <w:t>6.1询价文件由以下部分组成：</w:t>
      </w:r>
    </w:p>
    <w:p w14:paraId="654CD9CC">
      <w:pPr>
        <w:spacing w:line="440" w:lineRule="exact"/>
        <w:ind w:firstLine="480" w:firstLineChars="200"/>
        <w:rPr>
          <w:rFonts w:ascii="Times New Roman" w:hAnsi="Times New Roman" w:cs="宋体"/>
          <w:sz w:val="24"/>
          <w:highlight w:val="none"/>
        </w:rPr>
      </w:pPr>
      <w:r>
        <w:rPr>
          <w:rFonts w:hint="eastAsia" w:ascii="Times New Roman" w:hAnsi="Times New Roman" w:cs="宋体"/>
          <w:sz w:val="24"/>
          <w:highlight w:val="none"/>
        </w:rPr>
        <w:t>（1）询价邀请</w:t>
      </w:r>
    </w:p>
    <w:p w14:paraId="4A082C73">
      <w:pPr>
        <w:spacing w:line="440" w:lineRule="exact"/>
        <w:ind w:firstLine="480" w:firstLineChars="200"/>
        <w:rPr>
          <w:rFonts w:ascii="Times New Roman" w:hAnsi="Times New Roman" w:cs="宋体"/>
          <w:sz w:val="24"/>
          <w:highlight w:val="none"/>
        </w:rPr>
      </w:pPr>
      <w:r>
        <w:rPr>
          <w:rFonts w:hint="eastAsia" w:ascii="Times New Roman" w:hAnsi="Times New Roman" w:cs="宋体"/>
          <w:sz w:val="24"/>
          <w:highlight w:val="none"/>
        </w:rPr>
        <w:t>（2）供应商须知</w:t>
      </w:r>
    </w:p>
    <w:p w14:paraId="13105B24">
      <w:pPr>
        <w:spacing w:line="440" w:lineRule="exact"/>
        <w:ind w:firstLine="480" w:firstLineChars="200"/>
        <w:rPr>
          <w:rFonts w:ascii="Times New Roman" w:hAnsi="Times New Roman" w:cs="宋体"/>
          <w:sz w:val="24"/>
          <w:highlight w:val="none"/>
        </w:rPr>
      </w:pPr>
      <w:r>
        <w:rPr>
          <w:rFonts w:hint="eastAsia" w:ascii="Times New Roman" w:hAnsi="Times New Roman" w:cs="宋体"/>
          <w:sz w:val="24"/>
          <w:highlight w:val="none"/>
        </w:rPr>
        <w:t>（3）合同文本</w:t>
      </w:r>
    </w:p>
    <w:p w14:paraId="7472ABDE">
      <w:pPr>
        <w:spacing w:line="440" w:lineRule="exact"/>
        <w:ind w:firstLine="480" w:firstLineChars="200"/>
        <w:rPr>
          <w:rFonts w:ascii="Times New Roman" w:hAnsi="Times New Roman" w:cs="宋体"/>
          <w:sz w:val="24"/>
          <w:highlight w:val="none"/>
        </w:rPr>
      </w:pPr>
      <w:r>
        <w:rPr>
          <w:rFonts w:hint="eastAsia" w:ascii="Times New Roman" w:hAnsi="Times New Roman" w:cs="宋体"/>
          <w:sz w:val="24"/>
          <w:highlight w:val="none"/>
        </w:rPr>
        <w:t>（4）采购需求</w:t>
      </w:r>
    </w:p>
    <w:p w14:paraId="54E74F5D">
      <w:pPr>
        <w:spacing w:line="440" w:lineRule="exact"/>
        <w:ind w:firstLine="480" w:firstLineChars="200"/>
        <w:rPr>
          <w:rFonts w:ascii="Times New Roman" w:hAnsi="Times New Roman" w:cs="宋体"/>
          <w:sz w:val="24"/>
          <w:highlight w:val="none"/>
        </w:rPr>
      </w:pPr>
      <w:r>
        <w:rPr>
          <w:rFonts w:hint="eastAsia" w:ascii="Times New Roman" w:hAnsi="Times New Roman" w:cs="宋体"/>
          <w:sz w:val="24"/>
          <w:highlight w:val="none"/>
        </w:rPr>
        <w:t>（5）响应文件格式</w:t>
      </w:r>
    </w:p>
    <w:p w14:paraId="5DB4BFB3">
      <w:pPr>
        <w:spacing w:line="440" w:lineRule="exact"/>
        <w:ind w:firstLine="480" w:firstLineChars="200"/>
        <w:rPr>
          <w:rFonts w:ascii="Times New Roman" w:hAnsi="Times New Roman" w:cs="宋体"/>
          <w:sz w:val="24"/>
          <w:highlight w:val="none"/>
        </w:rPr>
      </w:pPr>
      <w:r>
        <w:rPr>
          <w:rFonts w:hint="eastAsia" w:ascii="Times New Roman" w:hAnsi="Times New Roman" w:cs="宋体"/>
          <w:sz w:val="24"/>
          <w:highlight w:val="none"/>
        </w:rPr>
        <w:t>请仔细检查询价文件是否齐全，如有缺漏请立即与代理机构联系解决。</w:t>
      </w:r>
    </w:p>
    <w:p w14:paraId="573228EA">
      <w:pPr>
        <w:spacing w:line="440" w:lineRule="exact"/>
        <w:ind w:firstLine="480" w:firstLineChars="200"/>
        <w:rPr>
          <w:rFonts w:ascii="Times New Roman" w:hAnsi="Times New Roman" w:cs="宋体"/>
          <w:sz w:val="24"/>
          <w:highlight w:val="none"/>
        </w:rPr>
      </w:pPr>
      <w:r>
        <w:rPr>
          <w:rFonts w:hint="eastAsia" w:ascii="Times New Roman" w:hAnsi="Times New Roman" w:cs="宋体"/>
          <w:sz w:val="24"/>
          <w:highlight w:val="none"/>
        </w:rPr>
        <w:t>6.2供应商应认真阅读询价文件中所有的事项、格式、条款和规范等要求。按询价文件要求和规定编制响应文件，并保证所提供的全部资料的真实性，以使其响应文件对询价文件作出实质性响应，否则其风险由供应商自行承担。</w:t>
      </w:r>
    </w:p>
    <w:p w14:paraId="246EF847">
      <w:pPr>
        <w:spacing w:line="440" w:lineRule="exact"/>
        <w:ind w:firstLine="480" w:firstLineChars="200"/>
        <w:rPr>
          <w:rFonts w:ascii="Times New Roman" w:hAnsi="Times New Roman" w:cs="宋体"/>
          <w:sz w:val="24"/>
          <w:highlight w:val="none"/>
        </w:rPr>
      </w:pPr>
      <w:bookmarkStart w:id="39" w:name="_Toc513029211"/>
      <w:bookmarkStart w:id="40" w:name="_Toc20823283"/>
      <w:bookmarkStart w:id="41" w:name="_Toc16938527"/>
      <w:bookmarkStart w:id="42" w:name="_Toc462564070"/>
      <w:r>
        <w:rPr>
          <w:rFonts w:ascii="Times New Roman" w:hAnsi="Times New Roman" w:cs="宋体"/>
          <w:sz w:val="24"/>
          <w:highlight w:val="none"/>
        </w:rPr>
        <w:t>7、</w:t>
      </w:r>
      <w:r>
        <w:rPr>
          <w:rFonts w:hint="eastAsia" w:ascii="Times New Roman" w:hAnsi="Times New Roman" w:cs="宋体"/>
          <w:sz w:val="24"/>
          <w:highlight w:val="none"/>
        </w:rPr>
        <w:t>询价</w:t>
      </w:r>
      <w:r>
        <w:rPr>
          <w:rFonts w:ascii="Times New Roman" w:hAnsi="Times New Roman" w:cs="宋体"/>
          <w:sz w:val="24"/>
          <w:highlight w:val="none"/>
        </w:rPr>
        <w:t>文件的澄清</w:t>
      </w:r>
      <w:bookmarkEnd w:id="39"/>
      <w:bookmarkEnd w:id="40"/>
      <w:bookmarkEnd w:id="41"/>
      <w:bookmarkEnd w:id="42"/>
    </w:p>
    <w:p w14:paraId="2EF3B3CA">
      <w:pPr>
        <w:spacing w:line="440" w:lineRule="exact"/>
        <w:ind w:firstLine="480" w:firstLineChars="200"/>
        <w:rPr>
          <w:rFonts w:ascii="Times New Roman" w:hAnsi="Times New Roman" w:cs="宋体"/>
          <w:sz w:val="24"/>
          <w:highlight w:val="none"/>
        </w:rPr>
      </w:pPr>
      <w:r>
        <w:rPr>
          <w:rFonts w:hint="eastAsia" w:ascii="Times New Roman" w:hAnsi="Times New Roman" w:cs="宋体"/>
          <w:sz w:val="24"/>
          <w:highlight w:val="none"/>
        </w:rPr>
        <w:t>7.1 任何要求对询价文件进行澄清的供应商，应在询价截止期3个工作日前按询价公告中的通讯地址，以书面形式通知采购人和代理机构。</w:t>
      </w:r>
    </w:p>
    <w:p w14:paraId="283E27E3">
      <w:pPr>
        <w:spacing w:line="440" w:lineRule="exact"/>
        <w:ind w:firstLine="480" w:firstLineChars="200"/>
        <w:rPr>
          <w:rFonts w:ascii="Times New Roman" w:hAnsi="Times New Roman" w:cs="宋体"/>
          <w:sz w:val="24"/>
          <w:highlight w:val="none"/>
        </w:rPr>
      </w:pPr>
      <w:bookmarkStart w:id="43" w:name="_Toc462564071"/>
      <w:bookmarkStart w:id="44" w:name="_Toc513029212"/>
      <w:bookmarkStart w:id="45" w:name="_Toc20823284"/>
      <w:bookmarkStart w:id="46" w:name="_Toc16938528"/>
      <w:r>
        <w:rPr>
          <w:rFonts w:ascii="Times New Roman" w:hAnsi="Times New Roman" w:cs="宋体"/>
          <w:sz w:val="24"/>
          <w:highlight w:val="none"/>
        </w:rPr>
        <w:t>8、</w:t>
      </w:r>
      <w:r>
        <w:rPr>
          <w:rFonts w:hint="eastAsia" w:ascii="Times New Roman" w:hAnsi="Times New Roman" w:cs="宋体"/>
          <w:sz w:val="24"/>
          <w:highlight w:val="none"/>
        </w:rPr>
        <w:t>询价</w:t>
      </w:r>
      <w:r>
        <w:rPr>
          <w:rFonts w:ascii="Times New Roman" w:hAnsi="Times New Roman" w:cs="宋体"/>
          <w:sz w:val="24"/>
          <w:highlight w:val="none"/>
        </w:rPr>
        <w:t>文件的澄清和修改</w:t>
      </w:r>
      <w:bookmarkEnd w:id="43"/>
      <w:bookmarkEnd w:id="44"/>
      <w:bookmarkEnd w:id="45"/>
      <w:bookmarkEnd w:id="46"/>
    </w:p>
    <w:p w14:paraId="7C28CDB6">
      <w:pPr>
        <w:spacing w:line="440" w:lineRule="exact"/>
        <w:ind w:firstLine="480" w:firstLineChars="200"/>
        <w:rPr>
          <w:rFonts w:ascii="Times New Roman" w:hAnsi="Times New Roman" w:cs="宋体"/>
          <w:sz w:val="24"/>
          <w:highlight w:val="none"/>
        </w:rPr>
      </w:pPr>
      <w:r>
        <w:rPr>
          <w:rFonts w:hint="eastAsia" w:ascii="Times New Roman" w:hAnsi="Times New Roman" w:cs="宋体"/>
          <w:sz w:val="24"/>
          <w:highlight w:val="none"/>
        </w:rPr>
        <w:t>8.1 在响应文件提交截止时间</w:t>
      </w:r>
      <w:r>
        <w:rPr>
          <w:rFonts w:ascii="Times New Roman" w:hAnsi="Times New Roman" w:cs="宋体"/>
          <w:sz w:val="24"/>
          <w:highlight w:val="none"/>
        </w:rPr>
        <w:t>前</w:t>
      </w:r>
      <w:r>
        <w:rPr>
          <w:rFonts w:hint="eastAsia" w:ascii="Times New Roman" w:hAnsi="Times New Roman" w:cs="宋体"/>
          <w:sz w:val="24"/>
          <w:highlight w:val="none"/>
        </w:rPr>
        <w:t>，采购人可以对询价文件进行澄清和修改,</w:t>
      </w:r>
      <w:r>
        <w:rPr>
          <w:rFonts w:ascii="Times New Roman" w:hAnsi="Times New Roman" w:cs="宋体"/>
          <w:sz w:val="24"/>
          <w:highlight w:val="none"/>
        </w:rPr>
        <w:t> </w:t>
      </w:r>
      <w:r>
        <w:rPr>
          <w:rFonts w:hint="eastAsia" w:ascii="Times New Roman" w:hAnsi="Times New Roman" w:cs="宋体"/>
          <w:sz w:val="24"/>
          <w:highlight w:val="none"/>
        </w:rPr>
        <w:t>澄清或者修改的内容作为询价文件的组成部分。澄清或者修改的内容可能影响响应文件编制的，采购人将在提交首次响应文件截止时间至少3个工作日前，在“盐城幼儿师范高等专科学校官网”上发布书面更正公告形式通知所有获取询价文件的供应商,</w:t>
      </w:r>
      <w:r>
        <w:rPr>
          <w:rFonts w:ascii="Times New Roman" w:hAnsi="Times New Roman" w:cs="宋体"/>
          <w:sz w:val="24"/>
          <w:highlight w:val="none"/>
        </w:rPr>
        <w:t> </w:t>
      </w:r>
      <w:r>
        <w:rPr>
          <w:rFonts w:hint="eastAsia" w:ascii="Times New Roman" w:hAnsi="Times New Roman" w:cs="宋体"/>
          <w:sz w:val="24"/>
          <w:highlight w:val="none"/>
        </w:rPr>
        <w:t>更正公告内容将作为询价文件的组成部分，并对供应商具有约束力。不足3个工作日的，采购人将顺延提交首次响应文件截止时间。</w:t>
      </w:r>
    </w:p>
    <w:p w14:paraId="258DB5DD">
      <w:pPr>
        <w:spacing w:line="440" w:lineRule="exact"/>
        <w:ind w:firstLine="480" w:firstLineChars="200"/>
        <w:rPr>
          <w:rFonts w:ascii="Times New Roman" w:hAnsi="Times New Roman" w:cs="宋体"/>
          <w:sz w:val="24"/>
          <w:highlight w:val="none"/>
        </w:rPr>
      </w:pPr>
      <w:r>
        <w:rPr>
          <w:rFonts w:hint="eastAsia" w:ascii="Times New Roman" w:hAnsi="Times New Roman" w:cs="宋体"/>
          <w:sz w:val="24"/>
          <w:highlight w:val="none"/>
        </w:rPr>
        <w:t>8.2采购人可以视采购项目的具体情况，组织供应商进行现场考察或召开询价前答疑会，但不单独或分别组织只有一个供应商参加的现场考察和答疑会。</w:t>
      </w:r>
    </w:p>
    <w:p w14:paraId="68BAF96E">
      <w:pPr>
        <w:spacing w:line="440" w:lineRule="exact"/>
        <w:ind w:firstLine="482" w:firstLineChars="200"/>
        <w:rPr>
          <w:rFonts w:ascii="Times New Roman" w:hAnsi="Times New Roman" w:cs="宋体"/>
          <w:b/>
          <w:bCs/>
          <w:sz w:val="24"/>
          <w:highlight w:val="none"/>
        </w:rPr>
      </w:pPr>
      <w:bookmarkStart w:id="47" w:name="_Toc462564072"/>
      <w:bookmarkStart w:id="48" w:name="_Toc513029213"/>
      <w:bookmarkStart w:id="49" w:name="_Toc120614216"/>
      <w:bookmarkStart w:id="50" w:name="_Toc16938529"/>
      <w:bookmarkStart w:id="51" w:name="_Toc20823285"/>
      <w:r>
        <w:rPr>
          <w:rFonts w:ascii="Times New Roman" w:hAnsi="Times New Roman" w:cs="宋体"/>
          <w:b/>
          <w:bCs/>
          <w:sz w:val="24"/>
          <w:highlight w:val="none"/>
        </w:rPr>
        <w:t>三、响应文件的编制</w:t>
      </w:r>
      <w:bookmarkEnd w:id="47"/>
      <w:bookmarkEnd w:id="48"/>
      <w:bookmarkEnd w:id="49"/>
      <w:bookmarkEnd w:id="50"/>
      <w:bookmarkEnd w:id="51"/>
    </w:p>
    <w:p w14:paraId="5A7A39F7">
      <w:pPr>
        <w:spacing w:line="440" w:lineRule="exact"/>
        <w:ind w:firstLine="480" w:firstLineChars="200"/>
        <w:rPr>
          <w:rFonts w:ascii="Times New Roman" w:hAnsi="Times New Roman" w:cs="宋体"/>
          <w:sz w:val="24"/>
          <w:highlight w:val="none"/>
        </w:rPr>
      </w:pPr>
      <w:bookmarkStart w:id="52" w:name="_Toc513029214"/>
      <w:bookmarkStart w:id="53" w:name="_Toc20823286"/>
      <w:bookmarkStart w:id="54" w:name="_Toc462564073"/>
      <w:bookmarkStart w:id="55" w:name="_Toc16938530"/>
      <w:r>
        <w:rPr>
          <w:rFonts w:ascii="Times New Roman" w:hAnsi="Times New Roman" w:cs="宋体"/>
          <w:sz w:val="24"/>
          <w:highlight w:val="none"/>
        </w:rPr>
        <w:t>9、响应文件的语言及度量衡单位</w:t>
      </w:r>
      <w:bookmarkEnd w:id="52"/>
      <w:bookmarkEnd w:id="53"/>
      <w:bookmarkEnd w:id="54"/>
      <w:bookmarkEnd w:id="55"/>
    </w:p>
    <w:p w14:paraId="24E6815D">
      <w:pPr>
        <w:spacing w:line="440" w:lineRule="exact"/>
        <w:ind w:firstLine="480" w:firstLineChars="200"/>
        <w:rPr>
          <w:rFonts w:ascii="Times New Roman" w:hAnsi="Times New Roman" w:cs="宋体"/>
          <w:sz w:val="24"/>
          <w:highlight w:val="none"/>
        </w:rPr>
      </w:pPr>
      <w:r>
        <w:rPr>
          <w:rFonts w:hint="eastAsia" w:ascii="Times New Roman" w:hAnsi="Times New Roman" w:cs="宋体"/>
          <w:sz w:val="24"/>
          <w:highlight w:val="none"/>
        </w:rPr>
        <w:t>9.1供应商提交的响应文件以及供应商与采购人就有关询价的所有来往通知、函件和文件均应使用</w:t>
      </w:r>
      <w:r>
        <w:rPr>
          <w:rFonts w:hint="eastAsia" w:ascii="Times New Roman" w:hAnsi="Times New Roman" w:cs="宋体"/>
          <w:b/>
          <w:bCs/>
          <w:sz w:val="24"/>
          <w:highlight w:val="none"/>
        </w:rPr>
        <w:t>简体中文</w:t>
      </w:r>
      <w:r>
        <w:rPr>
          <w:rFonts w:hint="eastAsia" w:ascii="Times New Roman" w:hAnsi="Times New Roman" w:cs="宋体"/>
          <w:sz w:val="24"/>
          <w:highlight w:val="none"/>
        </w:rPr>
        <w:t>。</w:t>
      </w:r>
    </w:p>
    <w:p w14:paraId="5954B413">
      <w:pPr>
        <w:spacing w:line="440" w:lineRule="exact"/>
        <w:ind w:firstLine="480" w:firstLineChars="200"/>
        <w:rPr>
          <w:rFonts w:ascii="Times New Roman" w:hAnsi="Times New Roman" w:cs="宋体"/>
          <w:sz w:val="24"/>
          <w:highlight w:val="none"/>
        </w:rPr>
      </w:pPr>
      <w:r>
        <w:rPr>
          <w:rFonts w:hint="eastAsia" w:ascii="Times New Roman" w:hAnsi="Times New Roman" w:cs="宋体"/>
          <w:sz w:val="24"/>
          <w:highlight w:val="none"/>
        </w:rPr>
        <w:t>9.2 除技术性能另有规定外，响应文件所使用的度量衡单位，均须采用国家法定计量单位。</w:t>
      </w:r>
    </w:p>
    <w:p w14:paraId="63703E1C">
      <w:pPr>
        <w:spacing w:line="440" w:lineRule="exact"/>
        <w:ind w:firstLine="480" w:firstLineChars="200"/>
        <w:rPr>
          <w:rFonts w:ascii="Times New Roman" w:hAnsi="Times New Roman" w:cs="宋体"/>
          <w:sz w:val="24"/>
          <w:highlight w:val="none"/>
        </w:rPr>
      </w:pPr>
      <w:bookmarkStart w:id="56" w:name="_Toc462564074"/>
      <w:bookmarkStart w:id="57" w:name="_Toc16938531"/>
      <w:bookmarkStart w:id="58" w:name="_Toc20823287"/>
      <w:bookmarkStart w:id="59" w:name="_Toc513029215"/>
      <w:r>
        <w:rPr>
          <w:rFonts w:ascii="Times New Roman" w:hAnsi="Times New Roman" w:cs="宋体"/>
          <w:sz w:val="24"/>
          <w:highlight w:val="none"/>
        </w:rPr>
        <w:t>10、响应文件构成</w:t>
      </w:r>
      <w:bookmarkEnd w:id="56"/>
      <w:bookmarkEnd w:id="57"/>
      <w:bookmarkEnd w:id="58"/>
      <w:bookmarkEnd w:id="59"/>
    </w:p>
    <w:p w14:paraId="009AEC96">
      <w:pPr>
        <w:spacing w:line="440" w:lineRule="exact"/>
        <w:ind w:firstLine="480" w:firstLineChars="200"/>
        <w:rPr>
          <w:rFonts w:ascii="Times New Roman" w:hAnsi="Times New Roman" w:cs="宋体"/>
          <w:sz w:val="24"/>
          <w:highlight w:val="none"/>
        </w:rPr>
      </w:pPr>
      <w:r>
        <w:rPr>
          <w:rFonts w:hint="eastAsia" w:ascii="Times New Roman" w:hAnsi="Times New Roman" w:cs="宋体"/>
          <w:sz w:val="24"/>
          <w:highlight w:val="none"/>
        </w:rPr>
        <w:t>10.1供应商编写的响应文件应包括资格证明文件、符合性证明文件、开标一览表、分项报价表、其他证明文件、询价响应函等部分。</w:t>
      </w:r>
    </w:p>
    <w:p w14:paraId="0F42D1B7">
      <w:pPr>
        <w:spacing w:line="440" w:lineRule="exact"/>
        <w:ind w:firstLine="480" w:firstLineChars="200"/>
        <w:rPr>
          <w:rFonts w:ascii="Times New Roman" w:hAnsi="Times New Roman" w:cs="宋体"/>
          <w:sz w:val="24"/>
          <w:highlight w:val="none"/>
        </w:rPr>
      </w:pPr>
      <w:bookmarkStart w:id="60" w:name="_Toc513029219"/>
      <w:bookmarkStart w:id="61" w:name="_Toc49090509"/>
      <w:bookmarkStart w:id="62" w:name="_Toc14577355"/>
      <w:bookmarkStart w:id="63" w:name="_Toc513029216"/>
      <w:bookmarkStart w:id="64" w:name="_Toc14577357"/>
      <w:bookmarkStart w:id="65" w:name="_Toc49090508"/>
      <w:bookmarkStart w:id="66" w:name="_Toc49090507"/>
      <w:bookmarkStart w:id="67" w:name="_Toc14577354"/>
      <w:r>
        <w:rPr>
          <w:rFonts w:ascii="Times New Roman" w:hAnsi="Times New Roman" w:cs="宋体"/>
          <w:sz w:val="24"/>
          <w:highlight w:val="none"/>
        </w:rPr>
        <w:t>11、证明</w:t>
      </w:r>
      <w:r>
        <w:rPr>
          <w:rFonts w:hint="eastAsia" w:ascii="Times New Roman" w:hAnsi="Times New Roman" w:cs="宋体"/>
          <w:sz w:val="24"/>
          <w:highlight w:val="none"/>
        </w:rPr>
        <w:t>询价</w:t>
      </w:r>
      <w:r>
        <w:rPr>
          <w:rFonts w:ascii="Times New Roman" w:hAnsi="Times New Roman" w:cs="宋体"/>
          <w:sz w:val="24"/>
          <w:highlight w:val="none"/>
        </w:rPr>
        <w:t>响应标的符合</w:t>
      </w:r>
      <w:r>
        <w:rPr>
          <w:rFonts w:hint="eastAsia" w:ascii="Times New Roman" w:hAnsi="Times New Roman" w:cs="宋体"/>
          <w:sz w:val="24"/>
          <w:highlight w:val="none"/>
        </w:rPr>
        <w:t>询价</w:t>
      </w:r>
      <w:r>
        <w:rPr>
          <w:rFonts w:ascii="Times New Roman" w:hAnsi="Times New Roman" w:cs="宋体"/>
          <w:sz w:val="24"/>
          <w:highlight w:val="none"/>
        </w:rPr>
        <w:t>文件规定的文件</w:t>
      </w:r>
      <w:bookmarkEnd w:id="60"/>
      <w:bookmarkEnd w:id="61"/>
      <w:bookmarkEnd w:id="62"/>
      <w:bookmarkEnd w:id="63"/>
      <w:bookmarkEnd w:id="64"/>
      <w:bookmarkEnd w:id="65"/>
      <w:bookmarkEnd w:id="66"/>
      <w:bookmarkEnd w:id="67"/>
    </w:p>
    <w:p w14:paraId="50A53BC4">
      <w:pPr>
        <w:spacing w:line="440" w:lineRule="exact"/>
        <w:ind w:firstLine="480" w:firstLineChars="200"/>
        <w:rPr>
          <w:rFonts w:ascii="Times New Roman" w:hAnsi="Times New Roman" w:cs="宋体"/>
          <w:sz w:val="24"/>
          <w:highlight w:val="none"/>
        </w:rPr>
      </w:pPr>
      <w:r>
        <w:rPr>
          <w:rFonts w:hint="eastAsia" w:ascii="Times New Roman" w:hAnsi="Times New Roman" w:cs="宋体"/>
          <w:sz w:val="24"/>
          <w:highlight w:val="none"/>
        </w:rPr>
        <w:t>11.1供应商应按照询价文件要求提交证明文件，证明其及询价响应标的符合询价文件规定。</w:t>
      </w:r>
    </w:p>
    <w:p w14:paraId="3689F02F">
      <w:pPr>
        <w:spacing w:line="440" w:lineRule="exact"/>
        <w:ind w:firstLine="480" w:firstLineChars="200"/>
        <w:rPr>
          <w:rFonts w:ascii="Times New Roman" w:hAnsi="Times New Roman" w:cs="宋体"/>
          <w:sz w:val="24"/>
          <w:highlight w:val="none"/>
        </w:rPr>
      </w:pPr>
      <w:r>
        <w:rPr>
          <w:rFonts w:hint="eastAsia" w:ascii="Times New Roman" w:hAnsi="Times New Roman" w:cs="宋体"/>
          <w:sz w:val="24"/>
          <w:highlight w:val="none"/>
        </w:rPr>
        <w:t>11.2询价文件对证明文件无明确形式要求的，证明文件可以以文字资料、图纸和数据等形式提交。</w:t>
      </w:r>
    </w:p>
    <w:p w14:paraId="27148848">
      <w:pPr>
        <w:spacing w:line="440" w:lineRule="exact"/>
        <w:ind w:firstLine="480" w:firstLineChars="200"/>
        <w:rPr>
          <w:rFonts w:ascii="Times New Roman" w:hAnsi="Times New Roman" w:cs="宋体"/>
          <w:sz w:val="24"/>
          <w:highlight w:val="none"/>
        </w:rPr>
      </w:pPr>
      <w:r>
        <w:rPr>
          <w:rFonts w:ascii="Times New Roman" w:hAnsi="Times New Roman" w:cs="宋体"/>
          <w:sz w:val="24"/>
          <w:highlight w:val="none"/>
        </w:rPr>
        <w:t>12、分项报价表</w:t>
      </w:r>
    </w:p>
    <w:p w14:paraId="511B4FAD">
      <w:pPr>
        <w:spacing w:line="440" w:lineRule="exact"/>
        <w:ind w:firstLine="480" w:firstLineChars="200"/>
        <w:rPr>
          <w:rFonts w:ascii="Times New Roman" w:hAnsi="Times New Roman" w:cs="宋体"/>
          <w:sz w:val="24"/>
          <w:highlight w:val="none"/>
        </w:rPr>
      </w:pPr>
      <w:r>
        <w:rPr>
          <w:rFonts w:hint="eastAsia" w:ascii="Times New Roman" w:hAnsi="Times New Roman" w:cs="宋体"/>
          <w:sz w:val="24"/>
          <w:highlight w:val="none"/>
        </w:rPr>
        <w:t>12.1供应商应按照询价文件规定格式填报分项报价表（如有）。</w:t>
      </w:r>
    </w:p>
    <w:p w14:paraId="094F9B9D">
      <w:pPr>
        <w:spacing w:line="440" w:lineRule="exact"/>
        <w:ind w:firstLine="480" w:firstLineChars="200"/>
        <w:rPr>
          <w:rFonts w:ascii="Times New Roman" w:hAnsi="Times New Roman" w:cs="宋体"/>
          <w:sz w:val="24"/>
          <w:highlight w:val="none"/>
        </w:rPr>
      </w:pPr>
      <w:r>
        <w:rPr>
          <w:rFonts w:hint="eastAsia" w:ascii="Times New Roman" w:hAnsi="Times New Roman" w:cs="宋体"/>
          <w:sz w:val="24"/>
          <w:highlight w:val="none"/>
        </w:rPr>
        <w:t>12.2询价货币。响应文件中的单价和总价无特殊规定的采用人民币报价，以元为单位标注。询价文件中另有规定的按规定执行。</w:t>
      </w:r>
    </w:p>
    <w:p w14:paraId="0E25D0DE">
      <w:pPr>
        <w:spacing w:line="440" w:lineRule="exact"/>
        <w:ind w:firstLine="480" w:firstLineChars="200"/>
        <w:rPr>
          <w:rFonts w:ascii="Times New Roman" w:hAnsi="Times New Roman" w:cs="宋体"/>
          <w:sz w:val="24"/>
          <w:highlight w:val="none"/>
        </w:rPr>
      </w:pPr>
      <w:r>
        <w:rPr>
          <w:rFonts w:ascii="Times New Roman" w:hAnsi="Times New Roman" w:cs="宋体"/>
          <w:sz w:val="24"/>
          <w:highlight w:val="none"/>
        </w:rPr>
        <w:t>13、技术要求响应及偏离表、商务要求响应及偏离表</w:t>
      </w:r>
    </w:p>
    <w:p w14:paraId="31E3F1D7">
      <w:pPr>
        <w:spacing w:line="440" w:lineRule="exact"/>
        <w:ind w:firstLine="480" w:firstLineChars="200"/>
        <w:rPr>
          <w:rFonts w:ascii="Times New Roman" w:hAnsi="Times New Roman" w:cs="宋体"/>
          <w:sz w:val="24"/>
          <w:highlight w:val="none"/>
        </w:rPr>
      </w:pPr>
      <w:r>
        <w:rPr>
          <w:rFonts w:hint="eastAsia" w:ascii="Times New Roman" w:hAnsi="Times New Roman" w:cs="宋体"/>
          <w:sz w:val="24"/>
          <w:highlight w:val="none"/>
        </w:rPr>
        <w:t>13.1供应商需对询价文件中的技术要求与商务要求逐项作出响应或偏离，并说明原因。</w:t>
      </w:r>
    </w:p>
    <w:p w14:paraId="55490ABA">
      <w:pPr>
        <w:spacing w:line="440" w:lineRule="exact"/>
        <w:ind w:firstLine="480" w:firstLineChars="200"/>
        <w:rPr>
          <w:rFonts w:ascii="Times New Roman" w:hAnsi="Times New Roman" w:cs="宋体"/>
          <w:sz w:val="24"/>
          <w:highlight w:val="none"/>
        </w:rPr>
      </w:pPr>
      <w:r>
        <w:rPr>
          <w:rFonts w:hint="eastAsia" w:ascii="Times New Roman" w:hAnsi="Times New Roman" w:cs="宋体"/>
          <w:sz w:val="24"/>
          <w:highlight w:val="none"/>
        </w:rPr>
        <w:t>13.2供应商可在响应文件中提供认为需要的其他技术文件或说明。</w:t>
      </w:r>
    </w:p>
    <w:p w14:paraId="6313EDFF">
      <w:pPr>
        <w:spacing w:line="440" w:lineRule="exact"/>
        <w:ind w:firstLine="480" w:firstLineChars="200"/>
        <w:rPr>
          <w:rFonts w:ascii="Times New Roman" w:hAnsi="Times New Roman" w:cs="宋体"/>
          <w:sz w:val="24"/>
          <w:highlight w:val="none"/>
        </w:rPr>
      </w:pPr>
      <w:r>
        <w:rPr>
          <w:rFonts w:ascii="Times New Roman" w:hAnsi="Times New Roman" w:cs="宋体"/>
          <w:sz w:val="24"/>
          <w:highlight w:val="none"/>
        </w:rPr>
        <w:t>14、服务承诺、培训计划、人员安排及其他</w:t>
      </w:r>
      <w:r>
        <w:rPr>
          <w:rFonts w:hint="eastAsia" w:ascii="Times New Roman" w:hAnsi="Times New Roman" w:cs="宋体"/>
          <w:sz w:val="24"/>
          <w:highlight w:val="none"/>
        </w:rPr>
        <w:t>（如有）</w:t>
      </w:r>
    </w:p>
    <w:p w14:paraId="414B82F1">
      <w:pPr>
        <w:spacing w:line="440" w:lineRule="exact"/>
        <w:ind w:firstLine="480" w:firstLineChars="200"/>
        <w:rPr>
          <w:rFonts w:ascii="Times New Roman" w:hAnsi="Times New Roman" w:cs="宋体"/>
          <w:sz w:val="24"/>
          <w:highlight w:val="none"/>
        </w:rPr>
      </w:pPr>
      <w:r>
        <w:rPr>
          <w:rFonts w:hint="eastAsia" w:ascii="Times New Roman" w:hAnsi="Times New Roman" w:cs="宋体"/>
          <w:sz w:val="24"/>
          <w:highlight w:val="none"/>
        </w:rPr>
        <w:t>14.1供应商需根据询价文件要求提供有关售后服务的管理制度，售后服务机构的分布情况，售后服务人员的数量、素质、技术水平及售后服务的反应能力等。</w:t>
      </w:r>
    </w:p>
    <w:p w14:paraId="27FC40AE">
      <w:pPr>
        <w:spacing w:line="440" w:lineRule="exact"/>
        <w:ind w:firstLine="480" w:firstLineChars="200"/>
        <w:rPr>
          <w:rFonts w:ascii="Times New Roman" w:hAnsi="Times New Roman" w:cs="宋体"/>
          <w:sz w:val="24"/>
          <w:highlight w:val="none"/>
        </w:rPr>
      </w:pPr>
      <w:r>
        <w:rPr>
          <w:rFonts w:hint="eastAsia" w:ascii="Times New Roman" w:hAnsi="Times New Roman" w:cs="宋体"/>
          <w:sz w:val="24"/>
          <w:highlight w:val="none"/>
        </w:rPr>
        <w:t>14.2供应商需根据询价文件要求提供培训计划。</w:t>
      </w:r>
    </w:p>
    <w:p w14:paraId="0D8794F0">
      <w:pPr>
        <w:spacing w:line="440" w:lineRule="exact"/>
        <w:ind w:firstLine="480" w:firstLineChars="200"/>
        <w:rPr>
          <w:rFonts w:ascii="Times New Roman" w:hAnsi="Times New Roman" w:cs="宋体"/>
          <w:sz w:val="24"/>
          <w:highlight w:val="none"/>
        </w:rPr>
      </w:pPr>
      <w:r>
        <w:rPr>
          <w:rFonts w:hint="eastAsia" w:ascii="Times New Roman" w:hAnsi="Times New Roman" w:cs="宋体"/>
          <w:sz w:val="24"/>
          <w:highlight w:val="none"/>
        </w:rPr>
        <w:t>14.3供应商需根据询价文件要求提供询价响应标的的主要组成部分、功能设计、实现思路及关键技术等。</w:t>
      </w:r>
    </w:p>
    <w:p w14:paraId="22896ECE">
      <w:pPr>
        <w:spacing w:line="440" w:lineRule="exact"/>
        <w:ind w:firstLine="480" w:firstLineChars="200"/>
        <w:rPr>
          <w:rFonts w:ascii="Times New Roman" w:hAnsi="Times New Roman" w:cs="宋体"/>
          <w:sz w:val="24"/>
          <w:highlight w:val="none"/>
        </w:rPr>
      </w:pPr>
      <w:bookmarkStart w:id="68" w:name="_Toc49090510"/>
      <w:bookmarkStart w:id="69" w:name="_Toc14577359"/>
      <w:r>
        <w:rPr>
          <w:rFonts w:ascii="Times New Roman" w:hAnsi="Times New Roman" w:cs="宋体"/>
          <w:sz w:val="24"/>
          <w:highlight w:val="none"/>
        </w:rPr>
        <w:t>15、</w:t>
      </w:r>
      <w:r>
        <w:rPr>
          <w:rFonts w:hint="eastAsia" w:ascii="Times New Roman" w:hAnsi="Times New Roman" w:cs="宋体"/>
          <w:sz w:val="24"/>
          <w:highlight w:val="none"/>
        </w:rPr>
        <w:t>询价</w:t>
      </w:r>
      <w:r>
        <w:rPr>
          <w:rFonts w:ascii="Times New Roman" w:hAnsi="Times New Roman" w:cs="宋体"/>
          <w:sz w:val="24"/>
          <w:highlight w:val="none"/>
        </w:rPr>
        <w:t>响应函</w:t>
      </w:r>
      <w:bookmarkEnd w:id="68"/>
      <w:bookmarkEnd w:id="69"/>
    </w:p>
    <w:p w14:paraId="4DB5679F">
      <w:pPr>
        <w:spacing w:line="440" w:lineRule="exact"/>
        <w:ind w:firstLine="480" w:firstLineChars="200"/>
        <w:rPr>
          <w:rFonts w:ascii="Times New Roman" w:hAnsi="Times New Roman" w:cs="宋体"/>
          <w:sz w:val="24"/>
          <w:highlight w:val="none"/>
        </w:rPr>
      </w:pPr>
      <w:r>
        <w:rPr>
          <w:rFonts w:hint="eastAsia" w:ascii="Times New Roman" w:hAnsi="Times New Roman" w:cs="宋体"/>
          <w:sz w:val="24"/>
          <w:highlight w:val="none"/>
        </w:rPr>
        <w:t>15.1供应商应按照询价文件中提供的格式完整、正确填写询价响应函。</w:t>
      </w:r>
    </w:p>
    <w:p w14:paraId="26181169">
      <w:pPr>
        <w:spacing w:line="440" w:lineRule="exact"/>
        <w:ind w:firstLine="480" w:firstLineChars="200"/>
        <w:rPr>
          <w:rFonts w:ascii="Times New Roman" w:hAnsi="Times New Roman" w:cs="宋体"/>
          <w:sz w:val="24"/>
          <w:highlight w:val="none"/>
        </w:rPr>
      </w:pPr>
      <w:bookmarkStart w:id="70" w:name="_Toc49090511"/>
      <w:bookmarkStart w:id="71" w:name="_Toc14577360"/>
      <w:r>
        <w:rPr>
          <w:rFonts w:ascii="Times New Roman" w:hAnsi="Times New Roman" w:cs="宋体"/>
          <w:sz w:val="24"/>
          <w:highlight w:val="none"/>
        </w:rPr>
        <w:t>16、</w:t>
      </w:r>
      <w:r>
        <w:rPr>
          <w:rFonts w:hint="eastAsia" w:ascii="Times New Roman" w:hAnsi="Times New Roman" w:cs="宋体"/>
          <w:sz w:val="24"/>
          <w:highlight w:val="none"/>
        </w:rPr>
        <w:t>询价</w:t>
      </w:r>
      <w:r>
        <w:rPr>
          <w:rFonts w:ascii="Times New Roman" w:hAnsi="Times New Roman" w:cs="宋体"/>
          <w:sz w:val="24"/>
          <w:highlight w:val="none"/>
        </w:rPr>
        <w:t>有效期</w:t>
      </w:r>
      <w:bookmarkEnd w:id="70"/>
      <w:bookmarkEnd w:id="71"/>
    </w:p>
    <w:p w14:paraId="31364BF5">
      <w:pPr>
        <w:spacing w:line="440" w:lineRule="exact"/>
        <w:ind w:firstLine="480" w:firstLineChars="200"/>
        <w:rPr>
          <w:rFonts w:ascii="Times New Roman" w:hAnsi="Times New Roman" w:cs="宋体"/>
          <w:sz w:val="24"/>
          <w:highlight w:val="none"/>
        </w:rPr>
      </w:pPr>
      <w:r>
        <w:rPr>
          <w:rFonts w:hint="eastAsia" w:ascii="Times New Roman" w:hAnsi="Times New Roman" w:cs="宋体"/>
          <w:sz w:val="24"/>
          <w:highlight w:val="none"/>
        </w:rPr>
        <w:t>16.1询价有效期为询价文件规定的提交响应文件截止之日后</w:t>
      </w:r>
      <w:r>
        <w:rPr>
          <w:rFonts w:ascii="Times New Roman" w:hAnsi="Times New Roman" w:cs="宋体"/>
          <w:b/>
          <w:bCs/>
          <w:sz w:val="24"/>
          <w:highlight w:val="none"/>
          <w:u w:val="single"/>
        </w:rPr>
        <w:t>六十（60）</w:t>
      </w:r>
      <w:r>
        <w:rPr>
          <w:rFonts w:ascii="Times New Roman" w:hAnsi="Times New Roman" w:cs="宋体"/>
          <w:sz w:val="24"/>
          <w:highlight w:val="none"/>
        </w:rPr>
        <w:t>天</w:t>
      </w:r>
      <w:r>
        <w:rPr>
          <w:rFonts w:hint="eastAsia" w:ascii="Times New Roman" w:hAnsi="Times New Roman" w:cs="宋体"/>
          <w:sz w:val="24"/>
          <w:highlight w:val="none"/>
        </w:rPr>
        <w:t>。询价有效期比规定短的将被视为非实质性响应询价文件而予以拒绝。</w:t>
      </w:r>
    </w:p>
    <w:p w14:paraId="5224EC99">
      <w:pPr>
        <w:spacing w:line="440" w:lineRule="exact"/>
        <w:ind w:firstLine="480" w:firstLineChars="200"/>
        <w:rPr>
          <w:rFonts w:ascii="Times New Roman" w:hAnsi="Times New Roman" w:cs="宋体"/>
          <w:sz w:val="24"/>
          <w:highlight w:val="none"/>
        </w:rPr>
      </w:pPr>
      <w:r>
        <w:rPr>
          <w:rFonts w:ascii="Times New Roman" w:hAnsi="Times New Roman" w:cs="宋体"/>
          <w:sz w:val="24"/>
          <w:highlight w:val="none"/>
        </w:rPr>
        <w:t>17、</w:t>
      </w:r>
      <w:r>
        <w:rPr>
          <w:rFonts w:hint="eastAsia" w:ascii="Times New Roman" w:hAnsi="Times New Roman" w:cs="宋体"/>
          <w:sz w:val="24"/>
          <w:highlight w:val="none"/>
        </w:rPr>
        <w:t>询价</w:t>
      </w:r>
      <w:r>
        <w:rPr>
          <w:rFonts w:ascii="Times New Roman" w:hAnsi="Times New Roman" w:cs="宋体"/>
          <w:sz w:val="24"/>
          <w:highlight w:val="none"/>
        </w:rPr>
        <w:t>有效期的延长</w:t>
      </w:r>
    </w:p>
    <w:p w14:paraId="51E76935">
      <w:pPr>
        <w:spacing w:line="440" w:lineRule="exact"/>
        <w:ind w:firstLine="480" w:firstLineChars="200"/>
        <w:rPr>
          <w:rFonts w:ascii="Times New Roman" w:hAnsi="Times New Roman" w:cs="宋体"/>
          <w:sz w:val="24"/>
          <w:highlight w:val="none"/>
        </w:rPr>
      </w:pPr>
      <w:r>
        <w:rPr>
          <w:rFonts w:hint="eastAsia" w:ascii="Times New Roman" w:hAnsi="Times New Roman" w:cs="宋体"/>
          <w:sz w:val="24"/>
          <w:highlight w:val="none"/>
        </w:rPr>
        <w:t>17.1在特殊情况下，采购人于原询价有效期满之前，可向供应商提出延长询价有效期的要求。这种要求与答复均应采用书面形式。供应商可以拒绝采购人的这一要求而放弃询价，同意延长询价有效期的供应商既不能要求也不允许修改其响应文件。受询价有效期约束的所有权利与义务均延长至新的有效期。</w:t>
      </w:r>
    </w:p>
    <w:p w14:paraId="78688B84">
      <w:pPr>
        <w:spacing w:line="440" w:lineRule="exact"/>
        <w:ind w:firstLine="482" w:firstLineChars="200"/>
        <w:rPr>
          <w:rFonts w:ascii="Times New Roman" w:hAnsi="Times New Roman" w:cs="宋体"/>
          <w:b/>
          <w:bCs/>
          <w:sz w:val="24"/>
          <w:highlight w:val="none"/>
        </w:rPr>
      </w:pPr>
      <w:bookmarkStart w:id="72" w:name="_Toc20823296"/>
      <w:bookmarkStart w:id="73" w:name="_Toc120614217"/>
      <w:bookmarkStart w:id="74" w:name="_Toc16938540"/>
      <w:bookmarkStart w:id="75" w:name="_Toc513029224"/>
      <w:r>
        <w:rPr>
          <w:rFonts w:ascii="Times New Roman" w:hAnsi="Times New Roman" w:cs="宋体"/>
          <w:b/>
          <w:bCs/>
          <w:sz w:val="24"/>
          <w:highlight w:val="none"/>
        </w:rPr>
        <w:t>四、响应文件的递交</w:t>
      </w:r>
      <w:bookmarkEnd w:id="72"/>
      <w:bookmarkEnd w:id="73"/>
      <w:bookmarkEnd w:id="74"/>
      <w:bookmarkEnd w:id="75"/>
    </w:p>
    <w:p w14:paraId="743BDA87">
      <w:pPr>
        <w:spacing w:line="440" w:lineRule="exact"/>
        <w:ind w:firstLine="480" w:firstLineChars="200"/>
        <w:rPr>
          <w:rFonts w:ascii="Times New Roman" w:hAnsi="Times New Roman" w:cs="宋体"/>
          <w:sz w:val="24"/>
          <w:highlight w:val="none"/>
        </w:rPr>
      </w:pPr>
      <w:bookmarkStart w:id="76" w:name="_Toc14577363"/>
      <w:bookmarkStart w:id="77" w:name="_Toc61149563"/>
      <w:bookmarkStart w:id="78" w:name="_Toc20823301"/>
      <w:bookmarkStart w:id="79" w:name="_Toc513029229"/>
      <w:bookmarkStart w:id="80" w:name="_Toc120614218"/>
      <w:bookmarkStart w:id="81" w:name="_Toc16938545"/>
      <w:r>
        <w:rPr>
          <w:rFonts w:hint="eastAsia" w:ascii="Times New Roman" w:hAnsi="Times New Roman" w:cs="宋体"/>
          <w:sz w:val="24"/>
          <w:highlight w:val="none"/>
        </w:rPr>
        <w:t>18、响应文件</w:t>
      </w:r>
      <w:bookmarkStart w:id="82" w:name="_Hlt26954743"/>
      <w:bookmarkEnd w:id="82"/>
      <w:r>
        <w:rPr>
          <w:rFonts w:hint="eastAsia" w:ascii="Times New Roman" w:hAnsi="Times New Roman" w:cs="宋体"/>
          <w:sz w:val="24"/>
          <w:highlight w:val="none"/>
        </w:rPr>
        <w:t>的密封和标记</w:t>
      </w:r>
      <w:bookmarkEnd w:id="76"/>
      <w:bookmarkEnd w:id="77"/>
    </w:p>
    <w:p w14:paraId="3677E4CE">
      <w:pPr>
        <w:spacing w:line="440" w:lineRule="exact"/>
        <w:ind w:firstLine="480" w:firstLineChars="200"/>
        <w:rPr>
          <w:rFonts w:ascii="Times New Roman" w:hAnsi="Times New Roman" w:cs="宋体"/>
          <w:sz w:val="24"/>
          <w:highlight w:val="none"/>
        </w:rPr>
      </w:pPr>
      <w:r>
        <w:rPr>
          <w:rFonts w:hint="eastAsia" w:ascii="Times New Roman" w:hAnsi="Times New Roman" w:cs="宋体"/>
          <w:sz w:val="24"/>
          <w:highlight w:val="none"/>
        </w:rPr>
        <w:t>18.1参加询价供应商应将响应文件密封，密封的响应文件应标明“正本”、“副本”的字样。</w:t>
      </w:r>
    </w:p>
    <w:p w14:paraId="0DCB7502">
      <w:pPr>
        <w:spacing w:line="440" w:lineRule="exact"/>
        <w:ind w:firstLine="480" w:firstLineChars="200"/>
        <w:rPr>
          <w:rFonts w:ascii="Times New Roman" w:hAnsi="Times New Roman" w:cs="宋体"/>
          <w:sz w:val="24"/>
          <w:highlight w:val="none"/>
        </w:rPr>
      </w:pPr>
      <w:r>
        <w:rPr>
          <w:rFonts w:hint="eastAsia" w:ascii="Times New Roman" w:hAnsi="Times New Roman" w:cs="宋体"/>
          <w:sz w:val="24"/>
          <w:highlight w:val="none"/>
        </w:rPr>
        <w:t>18.2密封的响应文件应：</w:t>
      </w:r>
    </w:p>
    <w:p w14:paraId="2D521713">
      <w:pPr>
        <w:spacing w:line="440" w:lineRule="exact"/>
        <w:ind w:firstLine="480" w:firstLineChars="200"/>
        <w:rPr>
          <w:rFonts w:ascii="Times New Roman" w:hAnsi="Times New Roman" w:cs="宋体"/>
          <w:sz w:val="24"/>
          <w:highlight w:val="none"/>
        </w:rPr>
      </w:pPr>
      <w:r>
        <w:rPr>
          <w:rFonts w:hint="eastAsia" w:ascii="Times New Roman" w:hAnsi="Times New Roman" w:cs="宋体"/>
          <w:sz w:val="24"/>
          <w:highlight w:val="none"/>
        </w:rPr>
        <w:t>（1）按采购公告中注明的截止时间和地址送达；</w:t>
      </w:r>
    </w:p>
    <w:p w14:paraId="1B2AD534">
      <w:pPr>
        <w:spacing w:line="440" w:lineRule="exact"/>
        <w:ind w:firstLine="480" w:firstLineChars="200"/>
        <w:rPr>
          <w:rFonts w:ascii="Times New Roman" w:hAnsi="Times New Roman" w:cs="宋体"/>
          <w:sz w:val="24"/>
          <w:highlight w:val="none"/>
        </w:rPr>
      </w:pPr>
      <w:r>
        <w:rPr>
          <w:rFonts w:hint="eastAsia" w:ascii="Times New Roman" w:hAnsi="Times New Roman" w:cs="宋体"/>
          <w:sz w:val="24"/>
          <w:highlight w:val="none"/>
        </w:rPr>
        <w:t>（2）密封包装上应写明参加询价项目名称、询价文件编号（如有）及参加的分包号（如有）、参加询价供应商名称；</w:t>
      </w:r>
    </w:p>
    <w:p w14:paraId="4288F405">
      <w:pPr>
        <w:spacing w:line="440" w:lineRule="exact"/>
        <w:ind w:firstLine="480" w:firstLineChars="200"/>
        <w:rPr>
          <w:rFonts w:ascii="Times New Roman" w:hAnsi="Times New Roman" w:cs="宋体"/>
          <w:sz w:val="24"/>
          <w:highlight w:val="none"/>
        </w:rPr>
      </w:pPr>
      <w:r>
        <w:rPr>
          <w:rFonts w:hint="eastAsia" w:ascii="Times New Roman" w:hAnsi="Times New Roman" w:cs="宋体"/>
          <w:sz w:val="24"/>
          <w:highlight w:val="none"/>
        </w:rPr>
        <w:t>18.3如果密封包装未按要求密封和加写标记，采购人对误投或过早启封概不负责。对由此造成提前开封的响应文件，采购人将予以拒绝。</w:t>
      </w:r>
    </w:p>
    <w:p w14:paraId="7BA6FA6F">
      <w:pPr>
        <w:spacing w:line="440" w:lineRule="exact"/>
        <w:ind w:firstLine="480" w:firstLineChars="200"/>
        <w:rPr>
          <w:rFonts w:ascii="Times New Roman" w:hAnsi="Times New Roman" w:cs="宋体"/>
          <w:sz w:val="24"/>
          <w:highlight w:val="none"/>
        </w:rPr>
      </w:pPr>
      <w:bookmarkStart w:id="83" w:name="_Hlt26954858"/>
      <w:bookmarkEnd w:id="83"/>
      <w:bookmarkStart w:id="84" w:name="_Hlt26954752"/>
      <w:bookmarkEnd w:id="84"/>
      <w:bookmarkStart w:id="85" w:name="_Hlt26670496"/>
      <w:bookmarkEnd w:id="85"/>
      <w:r>
        <w:rPr>
          <w:rFonts w:hint="eastAsia" w:ascii="Times New Roman" w:hAnsi="Times New Roman" w:cs="宋体"/>
          <w:sz w:val="24"/>
          <w:highlight w:val="none"/>
        </w:rPr>
        <w:t>19、响应文件开启时间</w:t>
      </w:r>
    </w:p>
    <w:p w14:paraId="1AA91B94">
      <w:pPr>
        <w:spacing w:line="440" w:lineRule="exact"/>
        <w:ind w:firstLine="480" w:firstLineChars="200"/>
        <w:rPr>
          <w:rFonts w:ascii="Times New Roman" w:hAnsi="Times New Roman" w:cs="宋体"/>
          <w:sz w:val="24"/>
          <w:highlight w:val="none"/>
        </w:rPr>
      </w:pPr>
      <w:r>
        <w:rPr>
          <w:rFonts w:hint="eastAsia" w:ascii="Times New Roman" w:hAnsi="Times New Roman" w:cs="宋体"/>
          <w:sz w:val="24"/>
          <w:highlight w:val="none"/>
        </w:rPr>
        <w:t>19.1采购人收到响应文件的时间不得迟于本采购文件规定的响应文件接收截止时间。</w:t>
      </w:r>
    </w:p>
    <w:p w14:paraId="2E040070">
      <w:pPr>
        <w:spacing w:line="440" w:lineRule="exact"/>
        <w:ind w:firstLine="480" w:firstLineChars="200"/>
        <w:rPr>
          <w:rFonts w:ascii="Times New Roman" w:hAnsi="Times New Roman" w:cs="宋体"/>
          <w:sz w:val="24"/>
          <w:highlight w:val="none"/>
        </w:rPr>
      </w:pPr>
      <w:r>
        <w:rPr>
          <w:rFonts w:hint="eastAsia" w:ascii="Times New Roman" w:hAnsi="Times New Roman" w:cs="宋体"/>
          <w:sz w:val="24"/>
          <w:highlight w:val="none"/>
        </w:rPr>
        <w:t>19.2采购人可通过修改采购文件自行决定酌情推迟响应文件接收截止时间，在此情况下，询价供应商的所有权利和义务以及受制的响应文件接收截止时间均应以延长后新的响应文件接收截止时间为准。</w:t>
      </w:r>
    </w:p>
    <w:p w14:paraId="17057592">
      <w:pPr>
        <w:spacing w:line="440" w:lineRule="exact"/>
        <w:ind w:firstLine="480" w:firstLineChars="200"/>
        <w:rPr>
          <w:rFonts w:ascii="Times New Roman" w:hAnsi="Times New Roman" w:cs="宋体"/>
          <w:sz w:val="24"/>
          <w:highlight w:val="none"/>
        </w:rPr>
      </w:pPr>
      <w:bookmarkStart w:id="86" w:name="_Hlt26954860"/>
      <w:bookmarkEnd w:id="86"/>
      <w:bookmarkStart w:id="87" w:name="_Toc14577365"/>
      <w:bookmarkStart w:id="88" w:name="_Toc61149565"/>
      <w:r>
        <w:rPr>
          <w:rFonts w:hint="eastAsia" w:ascii="Times New Roman" w:hAnsi="Times New Roman" w:cs="宋体"/>
          <w:sz w:val="24"/>
          <w:highlight w:val="none"/>
        </w:rPr>
        <w:t>20、迟交的响应文件</w:t>
      </w:r>
      <w:bookmarkEnd w:id="87"/>
      <w:bookmarkEnd w:id="88"/>
    </w:p>
    <w:p w14:paraId="38016ED6">
      <w:pPr>
        <w:spacing w:line="440" w:lineRule="exact"/>
        <w:ind w:firstLine="480" w:firstLineChars="200"/>
        <w:rPr>
          <w:rFonts w:ascii="Times New Roman" w:hAnsi="Times New Roman" w:cs="宋体"/>
          <w:sz w:val="24"/>
          <w:highlight w:val="none"/>
        </w:rPr>
      </w:pPr>
      <w:r>
        <w:rPr>
          <w:rFonts w:hint="eastAsia" w:ascii="Times New Roman" w:hAnsi="Times New Roman" w:cs="宋体"/>
          <w:sz w:val="24"/>
          <w:highlight w:val="none"/>
        </w:rPr>
        <w:t>采购人将拒绝在其规定的响应文件接收截止时间后送达的响应文件。</w:t>
      </w:r>
    </w:p>
    <w:p w14:paraId="73053D01">
      <w:pPr>
        <w:spacing w:line="440" w:lineRule="exact"/>
        <w:ind w:firstLine="480" w:firstLineChars="200"/>
        <w:rPr>
          <w:rFonts w:ascii="Times New Roman" w:hAnsi="Times New Roman" w:cs="宋体"/>
          <w:sz w:val="24"/>
          <w:highlight w:val="none"/>
        </w:rPr>
      </w:pPr>
      <w:bookmarkStart w:id="89" w:name="_Hlt26954862"/>
      <w:bookmarkEnd w:id="89"/>
      <w:bookmarkStart w:id="90" w:name="_Hlt26954754"/>
      <w:bookmarkEnd w:id="90"/>
      <w:bookmarkStart w:id="91" w:name="_Toc61149566"/>
      <w:bookmarkStart w:id="92" w:name="_Toc14577366"/>
      <w:r>
        <w:rPr>
          <w:rFonts w:hint="eastAsia" w:ascii="Times New Roman" w:hAnsi="Times New Roman" w:cs="宋体"/>
          <w:sz w:val="24"/>
          <w:highlight w:val="none"/>
        </w:rPr>
        <w:t>21、响应文件</w:t>
      </w:r>
      <w:bookmarkStart w:id="93" w:name="_Hlt26670588"/>
      <w:r>
        <w:rPr>
          <w:rFonts w:hint="eastAsia" w:ascii="Times New Roman" w:hAnsi="Times New Roman" w:cs="宋体"/>
          <w:sz w:val="24"/>
          <w:highlight w:val="none"/>
        </w:rPr>
        <w:t>的修改</w:t>
      </w:r>
      <w:bookmarkEnd w:id="93"/>
      <w:r>
        <w:rPr>
          <w:rFonts w:hint="eastAsia" w:ascii="Times New Roman" w:hAnsi="Times New Roman" w:cs="宋体"/>
          <w:sz w:val="24"/>
          <w:highlight w:val="none"/>
        </w:rPr>
        <w:t>和撤回</w:t>
      </w:r>
      <w:bookmarkEnd w:id="91"/>
      <w:bookmarkEnd w:id="92"/>
    </w:p>
    <w:p w14:paraId="3B183EF5">
      <w:pPr>
        <w:spacing w:line="440" w:lineRule="exact"/>
        <w:ind w:firstLine="480" w:firstLineChars="200"/>
        <w:rPr>
          <w:rFonts w:ascii="Times New Roman" w:hAnsi="Times New Roman" w:cs="宋体"/>
          <w:sz w:val="24"/>
          <w:highlight w:val="none"/>
        </w:rPr>
      </w:pPr>
      <w:r>
        <w:rPr>
          <w:rFonts w:hint="eastAsia" w:ascii="Times New Roman" w:hAnsi="Times New Roman" w:cs="宋体"/>
          <w:sz w:val="24"/>
          <w:highlight w:val="none"/>
        </w:rPr>
        <w:t>21.1询价供应商在递交响应文件后，可以修改或撤回其响应文件，但这种修改和撤回，必须在规定的响应文件接收截止时间前，以书面形式送达指定地点。</w:t>
      </w:r>
    </w:p>
    <w:p w14:paraId="36CC2A2A">
      <w:pPr>
        <w:spacing w:line="440" w:lineRule="exact"/>
        <w:ind w:firstLine="480" w:firstLineChars="200"/>
        <w:rPr>
          <w:rFonts w:ascii="Times New Roman" w:hAnsi="Times New Roman" w:cs="宋体"/>
          <w:sz w:val="24"/>
          <w:highlight w:val="none"/>
        </w:rPr>
      </w:pPr>
      <w:r>
        <w:rPr>
          <w:rFonts w:hint="eastAsia" w:ascii="Times New Roman" w:hAnsi="Times New Roman" w:cs="宋体"/>
          <w:sz w:val="24"/>
          <w:highlight w:val="none"/>
        </w:rPr>
        <w:t>21.2询价供应商的修改或撤回通知书，应按本文件规定进行编制、密封、标记和发送，并应在封套上加注“修改”和“撤回”字样。</w:t>
      </w:r>
    </w:p>
    <w:p w14:paraId="15BE6D94">
      <w:pPr>
        <w:spacing w:line="440" w:lineRule="exact"/>
        <w:ind w:firstLine="480" w:firstLineChars="200"/>
        <w:rPr>
          <w:rFonts w:ascii="Times New Roman" w:hAnsi="Times New Roman" w:cs="宋体"/>
          <w:sz w:val="24"/>
          <w:highlight w:val="none"/>
        </w:rPr>
      </w:pPr>
      <w:r>
        <w:rPr>
          <w:rFonts w:hint="eastAsia" w:ascii="Times New Roman" w:hAnsi="Times New Roman" w:cs="宋体"/>
          <w:sz w:val="24"/>
          <w:highlight w:val="none"/>
        </w:rPr>
        <w:t>21.3询价供应商在提交最后报价之前，可以根据情况退出询价。</w:t>
      </w:r>
    </w:p>
    <w:p w14:paraId="4558C740">
      <w:pPr>
        <w:spacing w:line="440" w:lineRule="exact"/>
        <w:ind w:firstLine="482" w:firstLineChars="200"/>
        <w:rPr>
          <w:rFonts w:ascii="Times New Roman" w:hAnsi="Times New Roman" w:cs="宋体"/>
          <w:b/>
          <w:bCs/>
          <w:sz w:val="24"/>
          <w:highlight w:val="none"/>
        </w:rPr>
      </w:pPr>
      <w:r>
        <w:rPr>
          <w:rFonts w:ascii="Times New Roman" w:hAnsi="Times New Roman" w:cs="宋体"/>
          <w:b/>
          <w:bCs/>
          <w:sz w:val="24"/>
          <w:highlight w:val="none"/>
        </w:rPr>
        <w:t>五、响应文件的评审</w:t>
      </w:r>
      <w:bookmarkEnd w:id="78"/>
      <w:bookmarkEnd w:id="79"/>
      <w:bookmarkEnd w:id="80"/>
      <w:bookmarkEnd w:id="81"/>
    </w:p>
    <w:p w14:paraId="4B067DF2">
      <w:pPr>
        <w:spacing w:line="440" w:lineRule="exact"/>
        <w:ind w:firstLine="480" w:firstLineChars="200"/>
        <w:rPr>
          <w:rFonts w:ascii="Times New Roman" w:hAnsi="Times New Roman" w:cs="宋体"/>
          <w:sz w:val="24"/>
          <w:highlight w:val="none"/>
        </w:rPr>
      </w:pPr>
      <w:r>
        <w:rPr>
          <w:rFonts w:hint="eastAsia" w:ascii="Times New Roman" w:hAnsi="Times New Roman" w:cs="宋体"/>
          <w:sz w:val="24"/>
          <w:highlight w:val="none"/>
        </w:rPr>
        <w:t>22、仪式</w:t>
      </w:r>
    </w:p>
    <w:p w14:paraId="070C0FF1">
      <w:pPr>
        <w:spacing w:line="440" w:lineRule="exact"/>
        <w:ind w:firstLine="480" w:firstLineChars="200"/>
        <w:rPr>
          <w:rFonts w:ascii="Times New Roman" w:hAnsi="Times New Roman" w:cs="宋体"/>
          <w:sz w:val="24"/>
          <w:highlight w:val="none"/>
        </w:rPr>
      </w:pPr>
      <w:r>
        <w:rPr>
          <w:rFonts w:hint="eastAsia" w:ascii="Times New Roman" w:hAnsi="Times New Roman" w:cs="宋体"/>
          <w:sz w:val="24"/>
          <w:highlight w:val="none"/>
        </w:rPr>
        <w:t>22.1采购人将在采购公告中规定的时间和地点组织询价开始仪式，仪式由采购人主持，供应商应委派携带有效证件的代表准时参加，参加仪式的代表需签名以证明其出席。</w:t>
      </w:r>
    </w:p>
    <w:p w14:paraId="25E0929C">
      <w:pPr>
        <w:spacing w:line="440" w:lineRule="exact"/>
        <w:ind w:firstLine="480" w:firstLineChars="200"/>
        <w:rPr>
          <w:rFonts w:ascii="Times New Roman" w:hAnsi="Times New Roman" w:cs="宋体"/>
          <w:sz w:val="24"/>
          <w:highlight w:val="none"/>
        </w:rPr>
      </w:pPr>
      <w:bookmarkStart w:id="94" w:name="_Toc20823303"/>
      <w:bookmarkStart w:id="95" w:name="_Toc16938547"/>
      <w:bookmarkStart w:id="96" w:name="_Toc513029231"/>
      <w:r>
        <w:rPr>
          <w:rFonts w:ascii="Times New Roman" w:hAnsi="Times New Roman" w:cs="宋体"/>
          <w:sz w:val="24"/>
          <w:highlight w:val="none"/>
        </w:rPr>
        <w:t>23、</w:t>
      </w:r>
      <w:r>
        <w:rPr>
          <w:rFonts w:hint="eastAsia" w:ascii="Times New Roman" w:hAnsi="Times New Roman" w:cs="宋体"/>
          <w:sz w:val="24"/>
          <w:highlight w:val="none"/>
        </w:rPr>
        <w:t>询价</w:t>
      </w:r>
      <w:r>
        <w:rPr>
          <w:rFonts w:ascii="Times New Roman" w:hAnsi="Times New Roman" w:cs="宋体"/>
          <w:sz w:val="24"/>
          <w:highlight w:val="none"/>
        </w:rPr>
        <w:t>小组</w:t>
      </w:r>
      <w:bookmarkEnd w:id="94"/>
      <w:bookmarkEnd w:id="95"/>
      <w:bookmarkEnd w:id="96"/>
    </w:p>
    <w:p w14:paraId="56C2812C">
      <w:pPr>
        <w:spacing w:after="0" w:line="360" w:lineRule="auto"/>
        <w:ind w:firstLine="480" w:firstLineChars="200"/>
        <w:rPr>
          <w:rFonts w:ascii="宋体" w:hAnsi="宋体" w:eastAsia="宋体" w:cs="宋体"/>
          <w:sz w:val="24"/>
          <w:szCs w:val="24"/>
          <w:highlight w:val="none"/>
          <w:lang w:eastAsia="zh-CN"/>
        </w:rPr>
      </w:pPr>
      <w:r>
        <w:rPr>
          <w:rFonts w:hint="eastAsia" w:ascii="Times New Roman" w:hAnsi="Times New Roman" w:cs="宋体"/>
          <w:sz w:val="24"/>
          <w:highlight w:val="none"/>
        </w:rPr>
        <w:t>23.1采购人将组织询价小组对响应文件进行评审。询价小组由</w:t>
      </w:r>
      <w:r>
        <w:rPr>
          <w:rFonts w:hint="eastAsia" w:ascii="宋体" w:hAnsi="宋体" w:eastAsia="宋体" w:cs="宋体"/>
          <w:sz w:val="24"/>
          <w:szCs w:val="24"/>
          <w:highlight w:val="none"/>
          <w:lang w:eastAsia="zh-CN"/>
        </w:rPr>
        <w:t>政府采购评审专家（如需要）或由采购人按照单位内部管理规定抽选评审专家、采购人代表组成，且人员构成符合政府采购有关规定。</w:t>
      </w:r>
    </w:p>
    <w:p w14:paraId="377F0F78">
      <w:pPr>
        <w:spacing w:line="440" w:lineRule="exact"/>
        <w:ind w:firstLine="480" w:firstLineChars="200"/>
        <w:rPr>
          <w:rFonts w:ascii="Times New Roman" w:hAnsi="Times New Roman" w:cs="宋体"/>
          <w:sz w:val="24"/>
          <w:highlight w:val="none"/>
        </w:rPr>
      </w:pPr>
      <w:r>
        <w:rPr>
          <w:rFonts w:hint="eastAsia" w:ascii="Times New Roman" w:hAnsi="Times New Roman" w:cs="宋体"/>
          <w:sz w:val="24"/>
          <w:highlight w:val="none"/>
        </w:rPr>
        <w:t>23.2询价小组独立工作，负责评审所有响应文件并确定成交侯选人。</w:t>
      </w:r>
    </w:p>
    <w:p w14:paraId="10D81E2E">
      <w:pPr>
        <w:spacing w:line="440" w:lineRule="exact"/>
        <w:ind w:firstLine="480" w:firstLineChars="200"/>
        <w:rPr>
          <w:rFonts w:ascii="Times New Roman" w:hAnsi="Times New Roman" w:cs="宋体"/>
          <w:sz w:val="24"/>
          <w:highlight w:val="none"/>
        </w:rPr>
      </w:pPr>
      <w:r>
        <w:rPr>
          <w:rFonts w:hint="eastAsia" w:ascii="Times New Roman" w:hAnsi="Times New Roman" w:cs="宋体"/>
          <w:sz w:val="24"/>
          <w:highlight w:val="none"/>
        </w:rPr>
        <w:t>24、评审过程的保密与公正</w:t>
      </w:r>
    </w:p>
    <w:p w14:paraId="307DEFF8">
      <w:pPr>
        <w:spacing w:line="440" w:lineRule="exact"/>
        <w:ind w:firstLine="480" w:firstLineChars="200"/>
        <w:rPr>
          <w:rFonts w:ascii="Times New Roman" w:hAnsi="Times New Roman" w:cs="宋体"/>
          <w:sz w:val="24"/>
          <w:highlight w:val="none"/>
        </w:rPr>
      </w:pPr>
      <w:r>
        <w:rPr>
          <w:rFonts w:hint="eastAsia" w:ascii="Times New Roman" w:hAnsi="Times New Roman" w:cs="宋体"/>
          <w:sz w:val="24"/>
          <w:highlight w:val="none"/>
        </w:rPr>
        <w:t>24.1询价小组、采购人和代理机构工作人员、相关监督人员等与评审工作有关的人员，对评审情况以及在评审过程中获悉的国家秘密、商业秘密负有保密责任。</w:t>
      </w:r>
    </w:p>
    <w:p w14:paraId="20A80C2C">
      <w:pPr>
        <w:spacing w:line="440" w:lineRule="exact"/>
        <w:ind w:firstLine="480" w:firstLineChars="200"/>
        <w:rPr>
          <w:rFonts w:ascii="Times New Roman" w:hAnsi="Times New Roman" w:cs="宋体"/>
          <w:sz w:val="24"/>
          <w:highlight w:val="none"/>
        </w:rPr>
      </w:pPr>
      <w:r>
        <w:rPr>
          <w:rFonts w:hint="eastAsia" w:ascii="Times New Roman" w:hAnsi="Times New Roman" w:cs="宋体"/>
          <w:sz w:val="24"/>
          <w:highlight w:val="none"/>
        </w:rPr>
        <w:t>24.2在评审过程中，供应商不得以任何行为影响询价评审过程，否则其响应文件将被作为无效响应文件。</w:t>
      </w:r>
    </w:p>
    <w:p w14:paraId="0040D9C6">
      <w:pPr>
        <w:spacing w:line="440" w:lineRule="exact"/>
        <w:ind w:firstLine="480" w:firstLineChars="200"/>
        <w:rPr>
          <w:rFonts w:ascii="Times New Roman" w:hAnsi="Times New Roman" w:cs="宋体"/>
          <w:sz w:val="24"/>
          <w:highlight w:val="none"/>
        </w:rPr>
      </w:pPr>
      <w:r>
        <w:rPr>
          <w:rFonts w:hint="eastAsia" w:ascii="Times New Roman" w:hAnsi="Times New Roman" w:cs="宋体"/>
          <w:sz w:val="24"/>
          <w:highlight w:val="none"/>
        </w:rPr>
        <w:t>24.3在项目评审期间，采购人将设专门人员与供应商联系。</w:t>
      </w:r>
    </w:p>
    <w:p w14:paraId="47DC2929">
      <w:pPr>
        <w:spacing w:line="440" w:lineRule="exact"/>
        <w:ind w:firstLine="480" w:firstLineChars="200"/>
        <w:rPr>
          <w:rFonts w:ascii="Times New Roman" w:hAnsi="Times New Roman" w:cs="宋体"/>
          <w:sz w:val="24"/>
          <w:highlight w:val="none"/>
        </w:rPr>
      </w:pPr>
      <w:r>
        <w:rPr>
          <w:rFonts w:hint="eastAsia" w:ascii="Times New Roman" w:hAnsi="Times New Roman" w:cs="宋体"/>
          <w:sz w:val="24"/>
          <w:highlight w:val="none"/>
        </w:rPr>
        <w:t>24.4 采购人和询价小组不向未成交的供应商解释未成交原因，也不公布评审过程中的相关细节。</w:t>
      </w:r>
    </w:p>
    <w:p w14:paraId="7A6B2651">
      <w:pPr>
        <w:spacing w:line="440" w:lineRule="exact"/>
        <w:ind w:firstLine="480" w:firstLineChars="200"/>
        <w:rPr>
          <w:rFonts w:ascii="Times New Roman" w:hAnsi="Times New Roman" w:cs="宋体"/>
          <w:sz w:val="24"/>
          <w:highlight w:val="none"/>
        </w:rPr>
      </w:pPr>
      <w:bookmarkStart w:id="97" w:name="_Toc20823304"/>
      <w:bookmarkStart w:id="98" w:name="_Toc16938548"/>
      <w:bookmarkStart w:id="99" w:name="_Toc513029232"/>
      <w:r>
        <w:rPr>
          <w:rFonts w:ascii="Times New Roman" w:hAnsi="Times New Roman" w:cs="宋体"/>
          <w:sz w:val="24"/>
          <w:highlight w:val="none"/>
        </w:rPr>
        <w:t>25、评审过程中的的澄清</w:t>
      </w:r>
      <w:bookmarkEnd w:id="97"/>
      <w:bookmarkEnd w:id="98"/>
      <w:bookmarkEnd w:id="99"/>
    </w:p>
    <w:p w14:paraId="3EAD8890">
      <w:pPr>
        <w:spacing w:line="440" w:lineRule="exact"/>
        <w:ind w:firstLine="480" w:firstLineChars="200"/>
        <w:rPr>
          <w:rFonts w:ascii="Times New Roman" w:hAnsi="Times New Roman" w:cs="宋体"/>
          <w:sz w:val="24"/>
          <w:highlight w:val="none"/>
        </w:rPr>
      </w:pPr>
      <w:r>
        <w:rPr>
          <w:rFonts w:hint="eastAsia" w:ascii="Times New Roman" w:hAnsi="Times New Roman" w:cs="宋体"/>
          <w:sz w:val="24"/>
          <w:highlight w:val="none"/>
        </w:rPr>
        <w:t>25.1项目评审期间，询价小组有权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416C6D3E">
      <w:pPr>
        <w:spacing w:line="440" w:lineRule="exact"/>
        <w:ind w:firstLine="480" w:firstLineChars="200"/>
        <w:rPr>
          <w:rFonts w:ascii="Times New Roman" w:hAnsi="Times New Roman" w:cs="宋体"/>
          <w:sz w:val="24"/>
          <w:highlight w:val="none"/>
        </w:rPr>
      </w:pPr>
      <w:r>
        <w:rPr>
          <w:rFonts w:hint="eastAsia" w:ascii="Times New Roman" w:hAnsi="Times New Roman" w:cs="宋体"/>
          <w:sz w:val="24"/>
          <w:highlight w:val="none"/>
        </w:rPr>
        <w:t>询价小组并非对每个供应商都作澄清要求。</w:t>
      </w:r>
    </w:p>
    <w:p w14:paraId="6994C50A">
      <w:pPr>
        <w:spacing w:line="440" w:lineRule="exact"/>
        <w:ind w:firstLine="480" w:firstLineChars="200"/>
        <w:rPr>
          <w:rFonts w:ascii="Times New Roman" w:hAnsi="Times New Roman" w:cs="宋体"/>
          <w:sz w:val="24"/>
          <w:highlight w:val="none"/>
        </w:rPr>
      </w:pPr>
      <w:r>
        <w:rPr>
          <w:rFonts w:hint="eastAsia" w:ascii="Times New Roman" w:hAnsi="Times New Roman" w:cs="宋体"/>
          <w:sz w:val="24"/>
          <w:highlight w:val="none"/>
        </w:rPr>
        <w:t>25.2接到询价小组要求的供应商应派人按询价小组通知的时间和地点做出书面澄清、说明或更正。供应商的澄清、说明或者更正应当由法定代表人或授权代表签字或者加盖公章。由授权代表签字的，应当附法人授权书。供应商为自然人的，应当由本人签字并附身份证明。</w:t>
      </w:r>
    </w:p>
    <w:p w14:paraId="184DB9F7">
      <w:pPr>
        <w:spacing w:line="440" w:lineRule="exact"/>
        <w:ind w:firstLine="480" w:firstLineChars="200"/>
        <w:rPr>
          <w:rFonts w:ascii="Times New Roman" w:hAnsi="Times New Roman" w:cs="宋体"/>
          <w:sz w:val="24"/>
          <w:highlight w:val="none"/>
        </w:rPr>
      </w:pPr>
      <w:r>
        <w:rPr>
          <w:rFonts w:hint="eastAsia" w:ascii="Times New Roman" w:hAnsi="Times New Roman" w:cs="宋体"/>
          <w:sz w:val="24"/>
          <w:highlight w:val="none"/>
        </w:rPr>
        <w:t>25.3 接到询价小组澄清、说明和更正要求的供应商如未按规定做出澄清、说明和 更正，其风险由供应商自行承担。</w:t>
      </w:r>
    </w:p>
    <w:p w14:paraId="6A90837F">
      <w:pPr>
        <w:spacing w:line="440" w:lineRule="exact"/>
        <w:ind w:firstLine="482" w:firstLineChars="200"/>
        <w:rPr>
          <w:rFonts w:ascii="Times New Roman" w:hAnsi="Times New Roman" w:cs="宋体"/>
          <w:b/>
          <w:bCs/>
          <w:sz w:val="24"/>
          <w:highlight w:val="none"/>
        </w:rPr>
      </w:pPr>
      <w:bookmarkStart w:id="100" w:name="_Toc16938549"/>
      <w:bookmarkStart w:id="101" w:name="_Toc20823305"/>
      <w:bookmarkStart w:id="102" w:name="_Toc513029233"/>
      <w:r>
        <w:rPr>
          <w:rFonts w:ascii="Times New Roman" w:hAnsi="Times New Roman" w:cs="宋体"/>
          <w:b/>
          <w:bCs/>
          <w:sz w:val="24"/>
          <w:highlight w:val="none"/>
        </w:rPr>
        <w:t>26、对响应文件的审</w:t>
      </w:r>
      <w:bookmarkEnd w:id="100"/>
      <w:bookmarkEnd w:id="101"/>
      <w:bookmarkEnd w:id="102"/>
      <w:r>
        <w:rPr>
          <w:rFonts w:ascii="Times New Roman" w:hAnsi="Times New Roman" w:cs="宋体"/>
          <w:b/>
          <w:bCs/>
          <w:sz w:val="24"/>
          <w:highlight w:val="none"/>
        </w:rPr>
        <w:t>查</w:t>
      </w:r>
    </w:p>
    <w:p w14:paraId="54E8ED45">
      <w:pPr>
        <w:spacing w:line="440" w:lineRule="exact"/>
        <w:ind w:firstLine="482" w:firstLineChars="200"/>
        <w:rPr>
          <w:rFonts w:ascii="Times New Roman" w:hAnsi="Times New Roman" w:cs="宋体"/>
          <w:b/>
          <w:bCs/>
          <w:sz w:val="24"/>
          <w:highlight w:val="none"/>
        </w:rPr>
      </w:pPr>
      <w:r>
        <w:rPr>
          <w:rFonts w:hint="eastAsia" w:ascii="Times New Roman" w:hAnsi="Times New Roman" w:cs="宋体"/>
          <w:b/>
          <w:bCs/>
          <w:sz w:val="24"/>
          <w:highlight w:val="none"/>
        </w:rPr>
        <w:t>26.1响应文件审查分为资格审查和符合性审查。</w:t>
      </w:r>
    </w:p>
    <w:p w14:paraId="09031B42">
      <w:pPr>
        <w:spacing w:line="440" w:lineRule="exact"/>
        <w:ind w:firstLine="482" w:firstLineChars="200"/>
        <w:rPr>
          <w:rFonts w:ascii="Times New Roman" w:hAnsi="Times New Roman" w:cs="宋体"/>
          <w:sz w:val="24"/>
          <w:highlight w:val="none"/>
        </w:rPr>
      </w:pPr>
      <w:r>
        <w:rPr>
          <w:rFonts w:hint="eastAsia" w:ascii="Times New Roman" w:hAnsi="Times New Roman" w:cs="宋体"/>
          <w:b/>
          <w:bCs/>
          <w:sz w:val="24"/>
          <w:highlight w:val="none"/>
        </w:rPr>
        <w:t>26.1.1 资格审查：</w:t>
      </w:r>
      <w:r>
        <w:rPr>
          <w:rFonts w:hint="eastAsia" w:ascii="Times New Roman" w:hAnsi="Times New Roman" w:cs="宋体"/>
          <w:sz w:val="24"/>
          <w:highlight w:val="none"/>
        </w:rPr>
        <w:t>由询价小组依据法律法规和询价文件的规定，对响应文件中的资格证明文件进行审查，以确定供应商是否具备参加询价的资格。</w:t>
      </w:r>
    </w:p>
    <w:p w14:paraId="1C5A995D">
      <w:pPr>
        <w:spacing w:line="440" w:lineRule="exact"/>
        <w:ind w:firstLine="480" w:firstLineChars="200"/>
        <w:rPr>
          <w:rFonts w:ascii="Times New Roman" w:hAnsi="Times New Roman" w:cs="宋体"/>
          <w:sz w:val="24"/>
          <w:highlight w:val="none"/>
        </w:rPr>
      </w:pPr>
      <w:r>
        <w:rPr>
          <w:rFonts w:hint="eastAsia" w:ascii="Times New Roman" w:hAnsi="Times New Roman" w:cs="宋体"/>
          <w:sz w:val="24"/>
          <w:highlight w:val="none"/>
        </w:rPr>
        <w:t>询价小组在进行资格审查的同时，将在“信用中国”网站（www.creditchina.gov.cn）查询供应商的信用记录，以确定供应商是否具备询价资格,查询结果留存并归档。</w:t>
      </w:r>
    </w:p>
    <w:p w14:paraId="6AC16E70">
      <w:pPr>
        <w:spacing w:line="440" w:lineRule="exact"/>
        <w:ind w:firstLine="480" w:firstLineChars="200"/>
        <w:rPr>
          <w:rFonts w:ascii="Times New Roman" w:hAnsi="Times New Roman" w:cs="宋体"/>
          <w:sz w:val="24"/>
          <w:highlight w:val="none"/>
        </w:rPr>
      </w:pPr>
      <w:r>
        <w:rPr>
          <w:rFonts w:hint="eastAsia" w:ascii="Times New Roman" w:hAnsi="Times New Roman" w:cs="宋体"/>
          <w:sz w:val="24"/>
          <w:highlight w:val="none"/>
        </w:rPr>
        <w:t>接受联合体的项目，两个以上的自然人、法人或者其他组织组成一个联合体，以一个供应商的身份共同参加政府采购活动的,联合体成员中任何一方存在不良信用记录的，视同联合体存在不良应用记录。</w:t>
      </w:r>
    </w:p>
    <w:p w14:paraId="36A79FC0">
      <w:pPr>
        <w:spacing w:line="440" w:lineRule="exact"/>
        <w:ind w:firstLine="482" w:firstLineChars="200"/>
        <w:rPr>
          <w:rFonts w:ascii="Times New Roman" w:hAnsi="Times New Roman" w:cs="宋体"/>
          <w:sz w:val="24"/>
          <w:highlight w:val="none"/>
        </w:rPr>
      </w:pPr>
      <w:r>
        <w:rPr>
          <w:rFonts w:hint="eastAsia" w:ascii="Times New Roman" w:hAnsi="Times New Roman" w:cs="宋体"/>
          <w:b/>
          <w:bCs/>
          <w:sz w:val="24"/>
          <w:highlight w:val="none"/>
        </w:rPr>
        <w:t>26.1.2 符合性审查：</w:t>
      </w:r>
      <w:r>
        <w:rPr>
          <w:rFonts w:hint="eastAsia" w:ascii="Times New Roman" w:hAnsi="Times New Roman" w:cs="宋体"/>
          <w:sz w:val="24"/>
          <w:highlight w:val="none"/>
        </w:rPr>
        <w:t>依据询价文件的规定，由询价小组从响应文件的有效性、完整性和对询价文件的响应程度进行审查，以确定是否对询价文件的实质性要求作出响应。</w:t>
      </w:r>
    </w:p>
    <w:p w14:paraId="5F8B5262">
      <w:pPr>
        <w:spacing w:line="440" w:lineRule="exact"/>
        <w:ind w:firstLine="480" w:firstLineChars="200"/>
        <w:rPr>
          <w:rFonts w:ascii="Times New Roman" w:hAnsi="Times New Roman" w:cs="宋体"/>
          <w:sz w:val="24"/>
          <w:highlight w:val="none"/>
        </w:rPr>
      </w:pPr>
      <w:r>
        <w:rPr>
          <w:rFonts w:hint="eastAsia" w:ascii="Times New Roman" w:hAnsi="Times New Roman" w:cs="宋体"/>
          <w:sz w:val="24"/>
          <w:highlight w:val="none"/>
        </w:rPr>
        <w:t>26.1.3 未通过资格审查或符合性审查的供应商，询价小组将在苏采云系统中告知未通过资格审查或符合性审查的原因，评审结束后，询价小组将不再告知未通过资格审查或符合性审查的原因。</w:t>
      </w:r>
    </w:p>
    <w:p w14:paraId="22B76C5C">
      <w:pPr>
        <w:spacing w:line="440" w:lineRule="exact"/>
        <w:ind w:firstLine="480" w:firstLineChars="200"/>
        <w:rPr>
          <w:rFonts w:ascii="Times New Roman" w:hAnsi="Times New Roman" w:cs="宋体"/>
          <w:sz w:val="24"/>
          <w:highlight w:val="none"/>
        </w:rPr>
      </w:pPr>
      <w:r>
        <w:rPr>
          <w:rFonts w:hint="eastAsia" w:ascii="Times New Roman" w:hAnsi="Times New Roman" w:cs="宋体"/>
          <w:sz w:val="24"/>
          <w:highlight w:val="none"/>
        </w:rPr>
        <w:t>26.2在详细评审之前，询价小组将首先审查每份响应文件是否实质性响应了询价文件的要求。实质性响应的响应文件应该是与询价文件要求的条款、条件和规格相符，没有重大偏离或保留。</w:t>
      </w:r>
    </w:p>
    <w:p w14:paraId="6D2CD3E6">
      <w:pPr>
        <w:spacing w:line="440" w:lineRule="exact"/>
        <w:ind w:firstLine="480" w:firstLineChars="200"/>
        <w:rPr>
          <w:rFonts w:ascii="Times New Roman" w:hAnsi="Times New Roman" w:cs="宋体"/>
          <w:sz w:val="24"/>
          <w:highlight w:val="none"/>
        </w:rPr>
      </w:pPr>
      <w:r>
        <w:rPr>
          <w:rFonts w:hint="eastAsia" w:ascii="Times New Roman" w:hAnsi="Times New Roman" w:cs="宋体"/>
          <w:sz w:val="24"/>
          <w:highlight w:val="none"/>
        </w:rPr>
        <w:t>所谓重大偏离或保留是指与询价文件规定的实质性要求存在负偏离，或者在实质上与询价文件不一致，而且限制了合同中买方的权利或供应商的义务，纠正这些偏离或保留将会对其他实质性响应要求的供应商的竞争地位产生不公正的影响。重大偏离由询价小组按照少数服从多数的原则认定。询价小组决定响应文件的响应性只根据响应文件本身的内容，而不寻求外部的证据。</w:t>
      </w:r>
    </w:p>
    <w:p w14:paraId="7DF55811">
      <w:pPr>
        <w:spacing w:line="440" w:lineRule="exact"/>
        <w:ind w:firstLine="482" w:firstLineChars="200"/>
        <w:rPr>
          <w:rFonts w:ascii="Times New Roman" w:hAnsi="Times New Roman" w:cs="宋体"/>
          <w:b/>
          <w:bCs/>
          <w:sz w:val="24"/>
          <w:highlight w:val="none"/>
        </w:rPr>
      </w:pPr>
      <w:r>
        <w:rPr>
          <w:rFonts w:hint="eastAsia" w:ascii="Times New Roman" w:hAnsi="Times New Roman" w:cs="宋体"/>
          <w:b/>
          <w:bCs/>
          <w:sz w:val="24"/>
          <w:highlight w:val="none"/>
        </w:rPr>
        <w:t>26.3未实质性响应询价文件的情形</w:t>
      </w:r>
    </w:p>
    <w:p w14:paraId="6F767412">
      <w:pPr>
        <w:spacing w:line="440" w:lineRule="exact"/>
        <w:ind w:firstLine="482" w:firstLineChars="200"/>
        <w:rPr>
          <w:rFonts w:ascii="Times New Roman" w:hAnsi="Times New Roman" w:cs="宋体"/>
          <w:b/>
          <w:bCs/>
          <w:sz w:val="24"/>
          <w:highlight w:val="none"/>
        </w:rPr>
      </w:pPr>
      <w:r>
        <w:rPr>
          <w:rFonts w:hint="eastAsia" w:ascii="Times New Roman" w:hAnsi="Times New Roman" w:cs="宋体"/>
          <w:b/>
          <w:bCs/>
          <w:color w:val="000000"/>
          <w:sz w:val="24"/>
          <w:highlight w:val="none"/>
        </w:rPr>
        <w:t>26.3.1</w:t>
      </w:r>
      <w:r>
        <w:rPr>
          <w:rFonts w:hint="eastAsia" w:ascii="Times New Roman" w:hAnsi="Times New Roman" w:cs="宋体"/>
          <w:b/>
          <w:bCs/>
          <w:sz w:val="24"/>
          <w:highlight w:val="none"/>
        </w:rPr>
        <w:t>未按照采购文件规定要求装订成册、密封、签署、盖章的；</w:t>
      </w:r>
    </w:p>
    <w:p w14:paraId="55CA43F5">
      <w:pPr>
        <w:spacing w:line="440" w:lineRule="exact"/>
        <w:ind w:firstLine="482" w:firstLineChars="200"/>
        <w:rPr>
          <w:rFonts w:ascii="Times New Roman" w:hAnsi="Times New Roman" w:cs="宋体"/>
          <w:b/>
          <w:bCs/>
          <w:sz w:val="24"/>
          <w:highlight w:val="none"/>
        </w:rPr>
      </w:pPr>
      <w:r>
        <w:rPr>
          <w:rFonts w:hint="eastAsia" w:ascii="Times New Roman" w:hAnsi="Times New Roman" w:cs="宋体"/>
          <w:b/>
          <w:bCs/>
          <w:color w:val="000000"/>
          <w:sz w:val="24"/>
          <w:highlight w:val="none"/>
        </w:rPr>
        <w:t>26.3.2</w:t>
      </w:r>
      <w:r>
        <w:rPr>
          <w:rFonts w:hint="eastAsia" w:ascii="Times New Roman" w:hAnsi="Times New Roman" w:cs="宋体"/>
          <w:b/>
          <w:bCs/>
          <w:sz w:val="24"/>
          <w:highlight w:val="none"/>
        </w:rPr>
        <w:t>供应商在报价时采用选择性报价或采购文件要求报价却没有报价的；</w:t>
      </w:r>
    </w:p>
    <w:p w14:paraId="4F99DC40">
      <w:pPr>
        <w:spacing w:line="440" w:lineRule="exact"/>
        <w:ind w:firstLine="482" w:firstLineChars="200"/>
        <w:rPr>
          <w:rFonts w:ascii="Times New Roman" w:hAnsi="Times New Roman" w:cs="宋体"/>
          <w:b/>
          <w:bCs/>
          <w:sz w:val="24"/>
          <w:highlight w:val="none"/>
        </w:rPr>
      </w:pPr>
      <w:r>
        <w:rPr>
          <w:rFonts w:hint="eastAsia" w:ascii="Times New Roman" w:hAnsi="Times New Roman" w:cs="宋体"/>
          <w:b/>
          <w:bCs/>
          <w:color w:val="000000"/>
          <w:sz w:val="24"/>
          <w:highlight w:val="none"/>
        </w:rPr>
        <w:t>26.3.3</w:t>
      </w:r>
      <w:r>
        <w:rPr>
          <w:rFonts w:hint="eastAsia" w:ascii="Times New Roman" w:hAnsi="Times New Roman" w:cs="宋体"/>
          <w:b/>
          <w:bCs/>
          <w:sz w:val="24"/>
          <w:highlight w:val="none"/>
        </w:rPr>
        <w:t>供应商不符合采购文件中规定的合格询价供应商资格要求的；</w:t>
      </w:r>
    </w:p>
    <w:p w14:paraId="125333C4">
      <w:pPr>
        <w:spacing w:line="440" w:lineRule="exact"/>
        <w:ind w:firstLine="482" w:firstLineChars="200"/>
        <w:rPr>
          <w:rFonts w:ascii="Times New Roman" w:hAnsi="Times New Roman" w:cs="宋体"/>
          <w:b/>
          <w:bCs/>
          <w:sz w:val="24"/>
          <w:highlight w:val="none"/>
        </w:rPr>
      </w:pPr>
      <w:r>
        <w:rPr>
          <w:rFonts w:hint="eastAsia" w:ascii="Times New Roman" w:hAnsi="Times New Roman" w:cs="宋体"/>
          <w:b/>
          <w:bCs/>
          <w:color w:val="000000"/>
          <w:sz w:val="24"/>
          <w:highlight w:val="none"/>
        </w:rPr>
        <w:t>26.3.4</w:t>
      </w:r>
      <w:r>
        <w:rPr>
          <w:rFonts w:hint="eastAsia" w:ascii="Times New Roman" w:hAnsi="Times New Roman" w:cs="宋体"/>
          <w:b/>
          <w:bCs/>
          <w:sz w:val="24"/>
          <w:highlight w:val="none"/>
        </w:rPr>
        <w:t>不符合法律、法规和采购文件中规定的其他实质性要求的；</w:t>
      </w:r>
    </w:p>
    <w:p w14:paraId="148C7E1C">
      <w:pPr>
        <w:spacing w:line="440" w:lineRule="exact"/>
        <w:ind w:firstLine="482" w:firstLineChars="200"/>
        <w:rPr>
          <w:rFonts w:ascii="Times New Roman" w:hAnsi="Times New Roman" w:cs="宋体"/>
          <w:b/>
          <w:bCs/>
          <w:sz w:val="24"/>
          <w:highlight w:val="none"/>
        </w:rPr>
      </w:pPr>
      <w:r>
        <w:rPr>
          <w:rFonts w:hint="eastAsia" w:ascii="Times New Roman" w:hAnsi="Times New Roman" w:cs="宋体"/>
          <w:b/>
          <w:bCs/>
          <w:color w:val="000000"/>
          <w:sz w:val="24"/>
          <w:highlight w:val="none"/>
        </w:rPr>
        <w:t>26.3.5</w:t>
      </w:r>
      <w:r>
        <w:rPr>
          <w:rFonts w:hint="eastAsia" w:ascii="Times New Roman" w:hAnsi="Times New Roman" w:cs="宋体"/>
          <w:b/>
          <w:bCs/>
          <w:sz w:val="24"/>
          <w:highlight w:val="none"/>
        </w:rPr>
        <w:t>其他法律、法规及本采购文件规定的属未实质性响应的响应文件的情形。</w:t>
      </w:r>
    </w:p>
    <w:p w14:paraId="7F358AA6">
      <w:pPr>
        <w:spacing w:line="440" w:lineRule="exact"/>
        <w:ind w:firstLine="482" w:firstLineChars="200"/>
        <w:rPr>
          <w:rFonts w:ascii="Times New Roman" w:hAnsi="Times New Roman"/>
          <w:b/>
          <w:bCs/>
          <w:sz w:val="24"/>
          <w:highlight w:val="none"/>
        </w:rPr>
      </w:pPr>
      <w:r>
        <w:rPr>
          <w:rFonts w:hint="eastAsia" w:ascii="Times New Roman" w:hAnsi="Times New Roman" w:cs="宋体"/>
          <w:b/>
          <w:bCs/>
          <w:color w:val="000000"/>
          <w:sz w:val="24"/>
          <w:highlight w:val="none"/>
        </w:rPr>
        <w:t>26.3.6不符合询价文件中规定的实质性要求和条件的</w:t>
      </w:r>
      <w:r>
        <w:rPr>
          <w:rFonts w:hint="eastAsia" w:ascii="Times New Roman" w:hAnsi="Times New Roman" w:cs="宋体"/>
          <w:b/>
          <w:bCs/>
          <w:i/>
          <w:color w:val="000000"/>
          <w:sz w:val="24"/>
          <w:highlight w:val="none"/>
          <w:u w:val="single"/>
        </w:rPr>
        <w:t>（本询价文件中斜体且有下划线部分为实质性要求和条件）。</w:t>
      </w:r>
    </w:p>
    <w:p w14:paraId="3AAE4755">
      <w:pPr>
        <w:spacing w:line="440" w:lineRule="exact"/>
        <w:ind w:firstLine="482" w:firstLineChars="200"/>
        <w:rPr>
          <w:rFonts w:ascii="Times New Roman" w:hAnsi="Times New Roman" w:cs="宋体"/>
          <w:b/>
          <w:bCs/>
          <w:sz w:val="24"/>
          <w:highlight w:val="none"/>
        </w:rPr>
      </w:pPr>
      <w:r>
        <w:rPr>
          <w:rFonts w:hint="eastAsia" w:ascii="Times New Roman" w:hAnsi="Times New Roman" w:cs="宋体"/>
          <w:b/>
          <w:bCs/>
          <w:sz w:val="24"/>
          <w:highlight w:val="none"/>
        </w:rPr>
        <w:t>26.3.7供应商被 “信用中国”网站（www.creditchina.gov.cn）列入失信被执行人或重大税收违法案件当事人名单或政府采购严重失信行为记录名单。或查询“信用中国”网站后发现供应商存在其他不符合《中华人民共和国政府采购法》第二十二条规定条件的信用记录。</w:t>
      </w:r>
    </w:p>
    <w:p w14:paraId="503AFA46">
      <w:pPr>
        <w:spacing w:line="440" w:lineRule="exact"/>
        <w:ind w:firstLine="482" w:firstLineChars="200"/>
        <w:rPr>
          <w:rFonts w:ascii="Times New Roman" w:hAnsi="Times New Roman" w:cs="宋体"/>
          <w:b/>
          <w:bCs/>
          <w:sz w:val="24"/>
          <w:highlight w:val="none"/>
        </w:rPr>
      </w:pPr>
      <w:r>
        <w:rPr>
          <w:rFonts w:hint="eastAsia" w:ascii="Times New Roman" w:hAnsi="Times New Roman" w:cs="宋体"/>
          <w:b/>
          <w:bCs/>
          <w:sz w:val="24"/>
          <w:highlight w:val="none"/>
        </w:rPr>
        <w:t>26.3.8 响应文件含有采购人不能接受的附加条件的。</w:t>
      </w:r>
    </w:p>
    <w:p w14:paraId="40674888">
      <w:pPr>
        <w:spacing w:line="440" w:lineRule="exact"/>
        <w:ind w:firstLine="482" w:firstLineChars="200"/>
        <w:rPr>
          <w:rFonts w:ascii="Times New Roman" w:hAnsi="Times New Roman" w:cs="宋体"/>
          <w:b/>
          <w:bCs/>
          <w:sz w:val="24"/>
          <w:highlight w:val="none"/>
        </w:rPr>
      </w:pPr>
      <w:r>
        <w:rPr>
          <w:rFonts w:hint="eastAsia" w:ascii="Times New Roman" w:hAnsi="Times New Roman" w:cs="宋体"/>
          <w:b/>
          <w:bCs/>
          <w:sz w:val="24"/>
          <w:highlight w:val="none"/>
        </w:rPr>
        <w:t>26.3.9 本项目采购产品被财政部、国家发改委、生态环境部等列入“节能产品品目清单”、“环境标志产品品目清单”强制采购范围，而询价供应商所询价产品不在强制采购范围内的。（★询价产品如属于政府强制采购节能产品品目清单范围内，询价响应文件中必须提供国家确定的认证机构出具的、处于有效期之内的该节能产品认证证书图片）节能及环保政策以投标（响应）主要（核心）产品（品牌）为准。</w:t>
      </w:r>
    </w:p>
    <w:p w14:paraId="298B014B">
      <w:pPr>
        <w:spacing w:line="440" w:lineRule="exact"/>
        <w:ind w:firstLine="480" w:firstLineChars="200"/>
        <w:rPr>
          <w:rFonts w:ascii="Times New Roman" w:hAnsi="Times New Roman" w:cs="宋体"/>
          <w:sz w:val="24"/>
          <w:highlight w:val="none"/>
        </w:rPr>
      </w:pPr>
      <w:r>
        <w:rPr>
          <w:rFonts w:hint="eastAsia" w:ascii="Times New Roman" w:hAnsi="Times New Roman" w:cs="宋体"/>
          <w:sz w:val="24"/>
          <w:highlight w:val="none"/>
        </w:rPr>
        <w:t>26.4未实质性响应询价文件的响应文件按无效响应处理。</w:t>
      </w:r>
    </w:p>
    <w:p w14:paraId="33F16121">
      <w:pPr>
        <w:spacing w:line="440" w:lineRule="exact"/>
        <w:ind w:firstLine="480" w:firstLineChars="200"/>
        <w:rPr>
          <w:rFonts w:ascii="Times New Roman" w:hAnsi="Times New Roman" w:cs="宋体"/>
          <w:sz w:val="24"/>
          <w:highlight w:val="none"/>
        </w:rPr>
      </w:pPr>
      <w:r>
        <w:rPr>
          <w:rFonts w:hint="eastAsia" w:ascii="Times New Roman" w:hAnsi="Times New Roman" w:cs="宋体"/>
          <w:sz w:val="24"/>
          <w:highlight w:val="none"/>
        </w:rPr>
        <w:t>26.5如果响应文件实质上没有响应询价文件的要求，询价小组将予以拒绝，供应商不得通过修改或撤销不合要求的偏离或保留而使其成为实质性响应的文件。</w:t>
      </w:r>
    </w:p>
    <w:p w14:paraId="5DC53C12">
      <w:pPr>
        <w:spacing w:line="440" w:lineRule="exact"/>
        <w:ind w:firstLine="480" w:firstLineChars="200"/>
        <w:rPr>
          <w:rFonts w:ascii="Times New Roman" w:hAnsi="Times New Roman" w:cs="宋体"/>
          <w:sz w:val="24"/>
          <w:highlight w:val="none"/>
        </w:rPr>
      </w:pPr>
      <w:bookmarkStart w:id="103" w:name="_Toc20823306"/>
      <w:bookmarkStart w:id="104" w:name="_Toc16938550"/>
      <w:bookmarkStart w:id="105" w:name="_Toc513029234"/>
      <w:r>
        <w:rPr>
          <w:rFonts w:hint="eastAsia" w:ascii="Times New Roman" w:hAnsi="Times New Roman" w:cs="宋体"/>
          <w:sz w:val="24"/>
          <w:highlight w:val="none"/>
        </w:rPr>
        <w:t>26.6供应商在项目评审全过程中应保持通讯畅通，并安排专人与采购人及询价小组联系。</w:t>
      </w:r>
      <w:bookmarkEnd w:id="103"/>
      <w:bookmarkEnd w:id="104"/>
      <w:bookmarkEnd w:id="105"/>
    </w:p>
    <w:p w14:paraId="22E4740D">
      <w:pPr>
        <w:spacing w:line="440" w:lineRule="exact"/>
        <w:ind w:firstLine="482" w:firstLineChars="200"/>
        <w:rPr>
          <w:rFonts w:ascii="Times New Roman" w:hAnsi="Times New Roman" w:cs="宋体"/>
          <w:b/>
          <w:bCs/>
          <w:sz w:val="24"/>
          <w:highlight w:val="none"/>
        </w:rPr>
      </w:pPr>
      <w:r>
        <w:rPr>
          <w:rFonts w:ascii="Times New Roman" w:hAnsi="Times New Roman" w:cs="宋体"/>
          <w:b/>
          <w:bCs/>
          <w:sz w:val="24"/>
          <w:highlight w:val="none"/>
        </w:rPr>
        <w:t>27、</w:t>
      </w:r>
      <w:r>
        <w:rPr>
          <w:rFonts w:hint="eastAsia" w:ascii="Times New Roman" w:hAnsi="Times New Roman" w:cs="宋体"/>
          <w:b/>
          <w:bCs/>
          <w:sz w:val="24"/>
          <w:highlight w:val="none"/>
        </w:rPr>
        <w:t>询价</w:t>
      </w:r>
      <w:r>
        <w:rPr>
          <w:rFonts w:ascii="Times New Roman" w:hAnsi="Times New Roman" w:cs="宋体"/>
          <w:b/>
          <w:bCs/>
          <w:sz w:val="24"/>
          <w:highlight w:val="none"/>
        </w:rPr>
        <w:t>程序及成交原则</w:t>
      </w:r>
    </w:p>
    <w:p w14:paraId="31BFCD60">
      <w:pPr>
        <w:spacing w:line="440" w:lineRule="exact"/>
        <w:ind w:firstLine="482" w:firstLineChars="200"/>
        <w:rPr>
          <w:rFonts w:ascii="Times New Roman" w:hAnsi="Times New Roman" w:cs="宋体"/>
          <w:b/>
          <w:bCs/>
          <w:sz w:val="24"/>
          <w:highlight w:val="none"/>
        </w:rPr>
      </w:pPr>
      <w:r>
        <w:rPr>
          <w:rFonts w:hint="eastAsia" w:ascii="Times New Roman" w:hAnsi="Times New Roman" w:cs="宋体"/>
          <w:b/>
          <w:bCs/>
          <w:sz w:val="24"/>
          <w:highlight w:val="none"/>
        </w:rPr>
        <w:t>27.1询价程序</w:t>
      </w:r>
    </w:p>
    <w:p w14:paraId="2FA70FB0">
      <w:pPr>
        <w:spacing w:line="440" w:lineRule="exact"/>
        <w:ind w:firstLine="482" w:firstLineChars="200"/>
        <w:rPr>
          <w:rFonts w:ascii="Times New Roman" w:hAnsi="Times New Roman" w:cs="宋体"/>
          <w:b/>
          <w:bCs/>
          <w:sz w:val="24"/>
          <w:highlight w:val="none"/>
        </w:rPr>
      </w:pPr>
      <w:r>
        <w:rPr>
          <w:rFonts w:hint="eastAsia" w:ascii="Times New Roman" w:hAnsi="Times New Roman" w:cs="宋体"/>
          <w:b/>
          <w:bCs/>
          <w:sz w:val="24"/>
          <w:highlight w:val="none"/>
        </w:rPr>
        <w:t>27.1.1询价小组将对供应商的响应文件进行资格审查和符合性审查。询价小组在询价过程中，不得改变询价文件中所确定的技术和服务等要求、评审程序、评定成交的标准和合同文本等事项。参加询价采购活动的供应商，应当按照询价文件中的规定一次报出不得更改的价格。</w:t>
      </w:r>
    </w:p>
    <w:p w14:paraId="347ED7FD">
      <w:pPr>
        <w:spacing w:line="440" w:lineRule="exact"/>
        <w:ind w:firstLine="482" w:firstLineChars="200"/>
        <w:rPr>
          <w:rFonts w:ascii="Times New Roman" w:hAnsi="Times New Roman" w:cs="宋体"/>
          <w:b/>
          <w:bCs/>
          <w:sz w:val="24"/>
          <w:highlight w:val="none"/>
        </w:rPr>
      </w:pPr>
      <w:r>
        <w:rPr>
          <w:rFonts w:hint="eastAsia" w:ascii="Times New Roman" w:hAnsi="Times New Roman" w:cs="宋体"/>
          <w:b/>
          <w:bCs/>
          <w:sz w:val="24"/>
          <w:highlight w:val="none"/>
        </w:rPr>
        <w:t>27.2 成交原则</w:t>
      </w:r>
    </w:p>
    <w:p w14:paraId="4A5AD709">
      <w:pPr>
        <w:spacing w:line="440" w:lineRule="exact"/>
        <w:ind w:firstLine="482" w:firstLineChars="200"/>
        <w:rPr>
          <w:rFonts w:ascii="Times New Roman" w:hAnsi="Times New Roman" w:cs="宋体"/>
          <w:b/>
          <w:bCs/>
          <w:sz w:val="24"/>
          <w:highlight w:val="none"/>
        </w:rPr>
      </w:pPr>
      <w:r>
        <w:rPr>
          <w:rFonts w:ascii="Times New Roman" w:hAnsi="Times New Roman" w:cs="宋体"/>
          <w:b/>
          <w:bCs/>
          <w:sz w:val="24"/>
          <w:highlight w:val="none"/>
        </w:rPr>
        <w:t>27.2.1</w:t>
      </w:r>
      <w:r>
        <w:rPr>
          <w:rFonts w:hint="eastAsia" w:ascii="Times New Roman" w:hAnsi="Times New Roman" w:cs="宋体"/>
          <w:b/>
          <w:bCs/>
          <w:sz w:val="24"/>
          <w:highlight w:val="none"/>
        </w:rPr>
        <w:t>询价</w:t>
      </w:r>
      <w:r>
        <w:rPr>
          <w:rFonts w:ascii="Times New Roman" w:hAnsi="Times New Roman" w:cs="宋体"/>
          <w:b/>
          <w:bCs/>
          <w:sz w:val="24"/>
          <w:highlight w:val="none"/>
        </w:rPr>
        <w:t>小组将从质量和服务均能满足采购文件实质性响应要求的供应商中，按照报价由低到高顺序推荐</w:t>
      </w:r>
      <w:r>
        <w:rPr>
          <w:rFonts w:hint="eastAsia" w:ascii="Times New Roman" w:hAnsi="Times New Roman" w:cs="宋体"/>
          <w:b/>
          <w:bCs/>
          <w:sz w:val="24"/>
          <w:highlight w:val="none"/>
        </w:rPr>
        <w:t>1</w:t>
      </w:r>
      <w:r>
        <w:rPr>
          <w:rFonts w:ascii="Times New Roman" w:hAnsi="Times New Roman" w:cs="宋体"/>
          <w:b/>
          <w:bCs/>
          <w:sz w:val="24"/>
          <w:highlight w:val="none"/>
        </w:rPr>
        <w:t>名成交候选供应商，并编写评审报告。</w:t>
      </w:r>
    </w:p>
    <w:p w14:paraId="6CF4957F">
      <w:pPr>
        <w:spacing w:line="440" w:lineRule="exact"/>
        <w:ind w:firstLine="480" w:firstLineChars="200"/>
        <w:rPr>
          <w:rFonts w:ascii="Times New Roman" w:hAnsi="Times New Roman" w:cs="宋体"/>
          <w:sz w:val="24"/>
          <w:highlight w:val="none"/>
        </w:rPr>
      </w:pPr>
      <w:r>
        <w:rPr>
          <w:rFonts w:ascii="Times New Roman" w:hAnsi="Times New Roman" w:cs="宋体"/>
          <w:sz w:val="24"/>
          <w:highlight w:val="none"/>
        </w:rPr>
        <w:t>27.2.2 提供相同品牌相同型号产品</w:t>
      </w:r>
      <w:r>
        <w:rPr>
          <w:rFonts w:hint="eastAsia" w:ascii="Times New Roman" w:hAnsi="Times New Roman" w:cs="宋体"/>
          <w:sz w:val="24"/>
          <w:highlight w:val="none"/>
        </w:rPr>
        <w:t>（以投标（响应）主要（核心）产品（品牌）为准）。</w:t>
      </w:r>
      <w:r>
        <w:rPr>
          <w:rFonts w:ascii="Times New Roman" w:hAnsi="Times New Roman" w:cs="宋体"/>
          <w:sz w:val="24"/>
          <w:highlight w:val="none"/>
        </w:rPr>
        <w:t>且通过资格审查、符合性审查的不同供应商参加同一合同项下响应的，按一家供应商计算，</w:t>
      </w:r>
      <w:r>
        <w:rPr>
          <w:rFonts w:hint="eastAsia" w:ascii="Times New Roman" w:hAnsi="Times New Roman" w:cs="宋体"/>
          <w:sz w:val="24"/>
          <w:highlight w:val="none"/>
        </w:rPr>
        <w:t>询价</w:t>
      </w:r>
      <w:r>
        <w:rPr>
          <w:rFonts w:ascii="Times New Roman" w:hAnsi="Times New Roman" w:cs="宋体"/>
          <w:sz w:val="24"/>
          <w:highlight w:val="none"/>
        </w:rPr>
        <w:t>中在其他条件合格的前提下，报价最低的供应商获得成交供应商推荐资格；报价相同的，由采购人或者采购人委托</w:t>
      </w:r>
      <w:r>
        <w:rPr>
          <w:rFonts w:hint="eastAsia" w:ascii="Times New Roman" w:hAnsi="Times New Roman" w:cs="宋体"/>
          <w:sz w:val="24"/>
          <w:highlight w:val="none"/>
        </w:rPr>
        <w:t>询价</w:t>
      </w:r>
      <w:r>
        <w:rPr>
          <w:rFonts w:ascii="Times New Roman" w:hAnsi="Times New Roman" w:cs="宋体"/>
          <w:sz w:val="24"/>
          <w:highlight w:val="none"/>
        </w:rPr>
        <w:t>小组按照</w:t>
      </w:r>
      <w:r>
        <w:rPr>
          <w:rFonts w:hint="eastAsia" w:ascii="Times New Roman" w:hAnsi="Times New Roman" w:cs="宋体"/>
          <w:sz w:val="24"/>
          <w:highlight w:val="none"/>
        </w:rPr>
        <w:t>询价</w:t>
      </w:r>
      <w:r>
        <w:rPr>
          <w:rFonts w:ascii="Times New Roman" w:hAnsi="Times New Roman" w:cs="宋体"/>
          <w:sz w:val="24"/>
          <w:highlight w:val="none"/>
        </w:rPr>
        <w:t>文件规定的方式确定一个供应商获得成交供应商推荐资格，</w:t>
      </w:r>
      <w:r>
        <w:rPr>
          <w:rFonts w:hint="eastAsia" w:ascii="Times New Roman" w:hAnsi="Times New Roman" w:cs="宋体"/>
          <w:sz w:val="24"/>
          <w:highlight w:val="none"/>
        </w:rPr>
        <w:t>询价</w:t>
      </w:r>
      <w:r>
        <w:rPr>
          <w:rFonts w:ascii="Times New Roman" w:hAnsi="Times New Roman" w:cs="宋体"/>
          <w:sz w:val="24"/>
          <w:highlight w:val="none"/>
        </w:rPr>
        <w:t>文件未规定的采取随机抽取方式确定，其他同品牌同型号供应商不作为成交候选人。</w:t>
      </w:r>
    </w:p>
    <w:p w14:paraId="6E32913A">
      <w:pPr>
        <w:spacing w:line="440" w:lineRule="exact"/>
        <w:ind w:firstLine="480" w:firstLineChars="200"/>
        <w:rPr>
          <w:rFonts w:ascii="Times New Roman" w:hAnsi="Times New Roman" w:cs="宋体"/>
          <w:sz w:val="24"/>
          <w:highlight w:val="none"/>
        </w:rPr>
      </w:pPr>
      <w:r>
        <w:rPr>
          <w:rFonts w:ascii="Times New Roman" w:hAnsi="Times New Roman" w:cs="宋体"/>
          <w:sz w:val="24"/>
          <w:highlight w:val="none"/>
        </w:rPr>
        <w:t>27.2.3 供应商的报价如相同，则优先采购 “环境标志产品”或“节能产品”；若均非“环境标志产品”、“节能产品”，则将优先采购交货期短者。环境标志产品是指列入财政部、环境保护部最新公布的《环境标志产品品目清单》内的产品；节能产品是指列入财政部、国家发改委最新公布的《节能产品品目清单》内的产品。</w:t>
      </w:r>
      <w:r>
        <w:rPr>
          <w:rFonts w:hint="eastAsia" w:ascii="Times New Roman" w:hAnsi="Times New Roman" w:cs="宋体"/>
          <w:sz w:val="24"/>
          <w:highlight w:val="none"/>
        </w:rPr>
        <w:t>（节能及环保政策以投标（响应）主要（核心）产品（品牌）为准。）</w:t>
      </w:r>
    </w:p>
    <w:p w14:paraId="543B8D73">
      <w:pPr>
        <w:spacing w:line="440" w:lineRule="exact"/>
        <w:ind w:firstLine="480" w:firstLineChars="200"/>
        <w:rPr>
          <w:rFonts w:ascii="Times New Roman" w:hAnsi="Times New Roman" w:cs="宋体"/>
          <w:sz w:val="24"/>
          <w:highlight w:val="none"/>
        </w:rPr>
      </w:pPr>
      <w:r>
        <w:rPr>
          <w:rFonts w:ascii="Times New Roman" w:hAnsi="Times New Roman" w:cs="宋体"/>
          <w:sz w:val="24"/>
          <w:highlight w:val="none"/>
        </w:rPr>
        <w:t>27.2.4 采购人确定成交供应商后，将在“</w:t>
      </w:r>
      <w:r>
        <w:rPr>
          <w:rFonts w:hint="eastAsia" w:ascii="Times New Roman" w:hAnsi="Times New Roman" w:cs="宋体"/>
          <w:sz w:val="24"/>
          <w:highlight w:val="none"/>
        </w:rPr>
        <w:t>盐城幼儿师范高等专科学校官网”</w:t>
      </w:r>
      <w:r>
        <w:rPr>
          <w:rFonts w:ascii="Times New Roman" w:hAnsi="Times New Roman" w:cs="宋体"/>
          <w:sz w:val="24"/>
          <w:highlight w:val="none"/>
        </w:rPr>
        <w:t>发布成交结果公告，公告期限为1个工作日。</w:t>
      </w:r>
    </w:p>
    <w:p w14:paraId="5DA62C23">
      <w:pPr>
        <w:spacing w:line="440" w:lineRule="exact"/>
        <w:ind w:firstLine="480" w:firstLineChars="200"/>
        <w:rPr>
          <w:rFonts w:ascii="Times New Roman" w:hAnsi="Times New Roman" w:cs="宋体"/>
          <w:sz w:val="24"/>
          <w:highlight w:val="none"/>
        </w:rPr>
      </w:pPr>
      <w:r>
        <w:rPr>
          <w:rFonts w:ascii="Times New Roman" w:hAnsi="Times New Roman" w:cs="宋体"/>
          <w:sz w:val="24"/>
          <w:highlight w:val="none"/>
        </w:rPr>
        <w:t>27.3对小微型企业、监狱企业和残疾人福利单位的价格扣除</w:t>
      </w:r>
    </w:p>
    <w:p w14:paraId="61775C1D">
      <w:pPr>
        <w:spacing w:line="440" w:lineRule="exact"/>
        <w:ind w:firstLine="482" w:firstLineChars="200"/>
        <w:rPr>
          <w:rFonts w:ascii="Times New Roman" w:hAnsi="Times New Roman" w:cs="宋体"/>
          <w:b/>
          <w:bCs/>
          <w:sz w:val="24"/>
          <w:highlight w:val="none"/>
        </w:rPr>
      </w:pPr>
      <w:r>
        <w:rPr>
          <w:rFonts w:hint="eastAsia" w:ascii="Times New Roman" w:hAnsi="Times New Roman" w:cs="宋体"/>
          <w:b/>
          <w:bCs/>
          <w:sz w:val="24"/>
          <w:highlight w:val="none"/>
          <w:lang w:val="en-US" w:eastAsia="zh-CN"/>
        </w:rPr>
        <w:t>27.3.1本项目不</w:t>
      </w:r>
      <w:r>
        <w:rPr>
          <w:rFonts w:ascii="Times New Roman" w:hAnsi="Times New Roman" w:cs="宋体"/>
          <w:b/>
          <w:bCs/>
          <w:sz w:val="24"/>
          <w:highlight w:val="none"/>
        </w:rPr>
        <w:t>对小微型企业、监狱企业和残疾人福利单位的价格</w:t>
      </w:r>
      <w:r>
        <w:rPr>
          <w:rFonts w:hint="eastAsia" w:ascii="Times New Roman" w:hAnsi="Times New Roman" w:cs="宋体"/>
          <w:b/>
          <w:bCs/>
          <w:sz w:val="24"/>
          <w:highlight w:val="none"/>
          <w:lang w:val="en-US" w:eastAsia="zh-CN"/>
        </w:rPr>
        <w:t>进行</w:t>
      </w:r>
      <w:r>
        <w:rPr>
          <w:rFonts w:ascii="Times New Roman" w:hAnsi="Times New Roman" w:cs="宋体"/>
          <w:b/>
          <w:bCs/>
          <w:sz w:val="24"/>
          <w:highlight w:val="none"/>
        </w:rPr>
        <w:t>扣除</w:t>
      </w:r>
    </w:p>
    <w:p w14:paraId="69FFDB7D">
      <w:pPr>
        <w:spacing w:line="440" w:lineRule="exact"/>
        <w:ind w:firstLine="480" w:firstLineChars="200"/>
        <w:rPr>
          <w:rFonts w:ascii="Times New Roman" w:hAnsi="Times New Roman" w:cs="宋体"/>
          <w:sz w:val="24"/>
          <w:highlight w:val="none"/>
        </w:rPr>
      </w:pPr>
      <w:r>
        <w:rPr>
          <w:rFonts w:hint="eastAsia" w:ascii="Times New Roman" w:hAnsi="Times New Roman" w:cs="宋体"/>
          <w:sz w:val="24"/>
          <w:highlight w:val="none"/>
        </w:rPr>
        <w:t>27.4采购活动终止的情况</w:t>
      </w:r>
    </w:p>
    <w:p w14:paraId="625036E3">
      <w:pPr>
        <w:spacing w:line="440" w:lineRule="exact"/>
        <w:ind w:firstLine="480" w:firstLineChars="200"/>
        <w:rPr>
          <w:rFonts w:ascii="Times New Roman" w:hAnsi="Times New Roman" w:cs="宋体"/>
          <w:sz w:val="24"/>
          <w:highlight w:val="none"/>
        </w:rPr>
      </w:pPr>
      <w:r>
        <w:rPr>
          <w:rFonts w:hint="eastAsia" w:ascii="Times New Roman" w:hAnsi="Times New Roman" w:cs="宋体"/>
          <w:sz w:val="24"/>
          <w:highlight w:val="none"/>
        </w:rPr>
        <w:t>出现下列情形之一的，本次竞争性询价采购活动将被终止：</w:t>
      </w:r>
    </w:p>
    <w:p w14:paraId="16680AB9">
      <w:pPr>
        <w:spacing w:line="440" w:lineRule="exact"/>
        <w:ind w:firstLine="480" w:firstLineChars="200"/>
        <w:rPr>
          <w:rFonts w:ascii="Times New Roman" w:hAnsi="Times New Roman" w:cs="宋体"/>
          <w:sz w:val="24"/>
          <w:highlight w:val="none"/>
        </w:rPr>
      </w:pPr>
      <w:r>
        <w:rPr>
          <w:rFonts w:hint="eastAsia" w:ascii="Times New Roman" w:hAnsi="Times New Roman" w:cs="宋体"/>
          <w:sz w:val="24"/>
          <w:highlight w:val="none"/>
        </w:rPr>
        <w:t>27.4.1因情况变化，不再符合规定的询价采购方式适用情形的。</w:t>
      </w:r>
    </w:p>
    <w:p w14:paraId="574D2879">
      <w:pPr>
        <w:spacing w:line="440" w:lineRule="exact"/>
        <w:ind w:firstLine="480" w:firstLineChars="200"/>
        <w:rPr>
          <w:rFonts w:ascii="Times New Roman" w:hAnsi="Times New Roman" w:cs="宋体"/>
          <w:sz w:val="24"/>
          <w:highlight w:val="none"/>
        </w:rPr>
      </w:pPr>
      <w:r>
        <w:rPr>
          <w:rFonts w:hint="eastAsia" w:ascii="Times New Roman" w:hAnsi="Times New Roman" w:cs="宋体"/>
          <w:sz w:val="24"/>
          <w:highlight w:val="none"/>
        </w:rPr>
        <w:t>27.4.2出现影响采购公正的违法、违规行为的。</w:t>
      </w:r>
    </w:p>
    <w:p w14:paraId="0201C08F">
      <w:pPr>
        <w:spacing w:line="440" w:lineRule="exact"/>
        <w:ind w:firstLine="480" w:firstLineChars="200"/>
        <w:rPr>
          <w:rFonts w:ascii="Times New Roman" w:hAnsi="Times New Roman" w:cs="宋体"/>
          <w:sz w:val="24"/>
          <w:highlight w:val="none"/>
        </w:rPr>
      </w:pPr>
      <w:r>
        <w:rPr>
          <w:rFonts w:hint="eastAsia" w:ascii="Times New Roman" w:hAnsi="Times New Roman" w:cs="宋体"/>
          <w:sz w:val="24"/>
          <w:highlight w:val="none"/>
        </w:rPr>
        <w:t>27.4.3在采购过程中符合要求的供应商或者报价未超过采购预算的供应商不足3家的。</w:t>
      </w:r>
    </w:p>
    <w:p w14:paraId="28C7DE5D">
      <w:pPr>
        <w:spacing w:line="440" w:lineRule="exact"/>
        <w:ind w:firstLine="480" w:firstLineChars="200"/>
        <w:rPr>
          <w:rFonts w:ascii="Times New Roman" w:hAnsi="Times New Roman" w:cs="宋体"/>
          <w:sz w:val="24"/>
          <w:highlight w:val="none"/>
        </w:rPr>
      </w:pPr>
      <w:r>
        <w:rPr>
          <w:rFonts w:ascii="Times New Roman" w:hAnsi="Times New Roman" w:cs="宋体"/>
          <w:sz w:val="24"/>
          <w:highlight w:val="none"/>
        </w:rPr>
        <w:t>28、成交供应商被取消成交资格情形</w:t>
      </w:r>
    </w:p>
    <w:p w14:paraId="51CF3517">
      <w:pPr>
        <w:spacing w:line="440" w:lineRule="exact"/>
        <w:ind w:firstLine="480" w:firstLineChars="200"/>
        <w:rPr>
          <w:rFonts w:ascii="Times New Roman" w:hAnsi="Times New Roman" w:cs="宋体"/>
          <w:sz w:val="24"/>
          <w:highlight w:val="none"/>
        </w:rPr>
      </w:pPr>
      <w:r>
        <w:rPr>
          <w:rFonts w:hint="eastAsia" w:ascii="Times New Roman" w:hAnsi="Times New Roman" w:cs="宋体"/>
          <w:sz w:val="24"/>
          <w:highlight w:val="none"/>
        </w:rPr>
        <w:t>若有充分证据证明，成交供应商出现下列情况之一的，一经查实，将被取消成交资格：</w:t>
      </w:r>
    </w:p>
    <w:p w14:paraId="0B1C6EE9">
      <w:pPr>
        <w:spacing w:line="440" w:lineRule="exact"/>
        <w:ind w:firstLine="480" w:firstLineChars="200"/>
        <w:rPr>
          <w:rFonts w:ascii="Times New Roman" w:hAnsi="Times New Roman" w:cs="宋体"/>
          <w:sz w:val="24"/>
          <w:highlight w:val="none"/>
        </w:rPr>
      </w:pPr>
      <w:r>
        <w:rPr>
          <w:rFonts w:hint="eastAsia" w:ascii="Times New Roman" w:hAnsi="Times New Roman" w:cs="宋体"/>
          <w:sz w:val="24"/>
          <w:highlight w:val="none"/>
        </w:rPr>
        <w:t>28.1提供虚假材料谋取成交的。</w:t>
      </w:r>
    </w:p>
    <w:p w14:paraId="10868C64">
      <w:pPr>
        <w:spacing w:line="440" w:lineRule="exact"/>
        <w:ind w:firstLine="480" w:firstLineChars="200"/>
        <w:rPr>
          <w:rFonts w:ascii="Times New Roman" w:hAnsi="Times New Roman" w:cs="宋体"/>
          <w:sz w:val="24"/>
          <w:highlight w:val="none"/>
        </w:rPr>
      </w:pPr>
      <w:r>
        <w:rPr>
          <w:rFonts w:hint="eastAsia" w:ascii="Times New Roman" w:hAnsi="Times New Roman" w:cs="宋体"/>
          <w:sz w:val="24"/>
          <w:highlight w:val="none"/>
        </w:rPr>
        <w:t>28.2与评审专家、采购人、其他供应商或者代理机构工作人员恶意串通的。</w:t>
      </w:r>
    </w:p>
    <w:p w14:paraId="581E05E7">
      <w:pPr>
        <w:spacing w:line="440" w:lineRule="exact"/>
        <w:ind w:firstLine="480" w:firstLineChars="200"/>
        <w:rPr>
          <w:rFonts w:ascii="Times New Roman" w:hAnsi="Times New Roman" w:cs="宋体"/>
          <w:sz w:val="24"/>
          <w:highlight w:val="none"/>
        </w:rPr>
      </w:pPr>
      <w:r>
        <w:rPr>
          <w:rFonts w:hint="eastAsia" w:ascii="Times New Roman" w:hAnsi="Times New Roman" w:cs="宋体"/>
          <w:sz w:val="24"/>
          <w:highlight w:val="none"/>
        </w:rPr>
        <w:t>28.3向评审专家、采购人或代理机构工作人员行贿或者提供其他不正当利益的。</w:t>
      </w:r>
    </w:p>
    <w:p w14:paraId="25F684C2">
      <w:pPr>
        <w:spacing w:line="440" w:lineRule="exact"/>
        <w:ind w:firstLine="480" w:firstLineChars="200"/>
        <w:rPr>
          <w:rFonts w:ascii="Times New Roman" w:hAnsi="Times New Roman" w:cs="宋体"/>
          <w:sz w:val="24"/>
          <w:highlight w:val="none"/>
        </w:rPr>
      </w:pPr>
      <w:r>
        <w:rPr>
          <w:rFonts w:hint="eastAsia" w:ascii="Times New Roman" w:hAnsi="Times New Roman" w:cs="宋体"/>
          <w:sz w:val="24"/>
          <w:highlight w:val="none"/>
        </w:rPr>
        <w:t>28.4恶意竞争，报价明显低于其自身合理成本且又无法提供证明的。</w:t>
      </w:r>
    </w:p>
    <w:p w14:paraId="35590745">
      <w:pPr>
        <w:spacing w:line="440" w:lineRule="exact"/>
        <w:ind w:firstLine="480" w:firstLineChars="200"/>
        <w:rPr>
          <w:rFonts w:ascii="Times New Roman" w:hAnsi="Times New Roman" w:cs="宋体"/>
          <w:sz w:val="24"/>
          <w:highlight w:val="none"/>
        </w:rPr>
      </w:pPr>
      <w:r>
        <w:rPr>
          <w:rFonts w:hint="eastAsia" w:ascii="Times New Roman" w:hAnsi="Times New Roman" w:cs="宋体"/>
          <w:sz w:val="24"/>
          <w:highlight w:val="none"/>
        </w:rPr>
        <w:t>28.5不满足本询价文件规定的实质性要求，但在评审过程中又未被询价小组发现的。</w:t>
      </w:r>
    </w:p>
    <w:p w14:paraId="0547E220">
      <w:pPr>
        <w:spacing w:line="440" w:lineRule="exact"/>
        <w:ind w:firstLine="480" w:firstLineChars="200"/>
        <w:rPr>
          <w:rFonts w:ascii="Times New Roman" w:hAnsi="Times New Roman" w:cs="宋体"/>
          <w:sz w:val="24"/>
          <w:highlight w:val="none"/>
        </w:rPr>
      </w:pPr>
      <w:r>
        <w:rPr>
          <w:rFonts w:hint="eastAsia" w:ascii="Times New Roman" w:hAnsi="Times New Roman" w:cs="宋体"/>
          <w:sz w:val="24"/>
          <w:highlight w:val="none"/>
        </w:rPr>
        <w:t>28.6成交后无正当理由拒不与采购人签订政府采购合同或者未按照询价文件确定的事项签订政府采购合同的。</w:t>
      </w:r>
    </w:p>
    <w:p w14:paraId="2F172560">
      <w:pPr>
        <w:spacing w:line="440" w:lineRule="exact"/>
        <w:ind w:firstLine="480" w:firstLineChars="200"/>
        <w:rPr>
          <w:rFonts w:ascii="Times New Roman" w:hAnsi="Times New Roman" w:cs="宋体"/>
          <w:sz w:val="24"/>
          <w:highlight w:val="none"/>
        </w:rPr>
      </w:pPr>
      <w:r>
        <w:rPr>
          <w:rFonts w:hint="eastAsia" w:ascii="Times New Roman" w:hAnsi="Times New Roman" w:cs="宋体"/>
          <w:sz w:val="24"/>
          <w:highlight w:val="none"/>
        </w:rPr>
        <w:t>28.7将政府采购合同转包的。</w:t>
      </w:r>
    </w:p>
    <w:p w14:paraId="4121D769">
      <w:pPr>
        <w:spacing w:line="440" w:lineRule="exact"/>
        <w:ind w:firstLine="480" w:firstLineChars="200"/>
        <w:rPr>
          <w:rFonts w:ascii="Times New Roman" w:hAnsi="Times New Roman" w:cs="宋体"/>
          <w:sz w:val="24"/>
          <w:highlight w:val="none"/>
        </w:rPr>
      </w:pPr>
      <w:bookmarkStart w:id="106" w:name="_Toc200451960"/>
      <w:r>
        <w:rPr>
          <w:rFonts w:hint="eastAsia" w:ascii="Times New Roman" w:hAnsi="Times New Roman" w:cs="宋体"/>
          <w:sz w:val="24"/>
          <w:highlight w:val="none"/>
        </w:rPr>
        <w:t>29、质疑处理</w:t>
      </w:r>
      <w:bookmarkEnd w:id="106"/>
    </w:p>
    <w:p w14:paraId="7975D746">
      <w:pPr>
        <w:spacing w:line="440" w:lineRule="exact"/>
        <w:ind w:firstLine="480" w:firstLineChars="200"/>
        <w:rPr>
          <w:rFonts w:ascii="Times New Roman" w:hAnsi="Times New Roman" w:cs="宋体"/>
          <w:sz w:val="24"/>
          <w:highlight w:val="none"/>
        </w:rPr>
      </w:pPr>
      <w:r>
        <w:rPr>
          <w:rFonts w:hint="eastAsia" w:ascii="Times New Roman" w:hAnsi="Times New Roman" w:cs="宋体"/>
          <w:sz w:val="24"/>
          <w:highlight w:val="none"/>
        </w:rPr>
        <w:t>29.1 提出质疑的供应商应当是参与所质疑项目采购活动的供应商。潜在供应商依法获取其可质疑的采购文件的，可以对采购文件提出质疑。</w:t>
      </w:r>
    </w:p>
    <w:p w14:paraId="2BB7F258">
      <w:pPr>
        <w:spacing w:line="440" w:lineRule="exact"/>
        <w:ind w:firstLine="480" w:firstLineChars="200"/>
        <w:rPr>
          <w:rFonts w:ascii="Times New Roman" w:hAnsi="Times New Roman" w:cs="宋体"/>
          <w:sz w:val="24"/>
          <w:highlight w:val="none"/>
        </w:rPr>
      </w:pPr>
      <w:r>
        <w:rPr>
          <w:rFonts w:hint="eastAsia" w:ascii="Times New Roman" w:hAnsi="Times New Roman" w:cs="宋体"/>
          <w:sz w:val="24"/>
          <w:highlight w:val="none"/>
        </w:rPr>
        <w:t>29.2供应商认为采购文件、采购过程和采购结果使自己的权益受到损害的，可以在知道或应知其权益受到损害之日起七个工作日内，以书面形式根据下述29.4条款的规定向采购</w:t>
      </w:r>
      <w:r>
        <w:rPr>
          <w:rFonts w:hint="eastAsia" w:ascii="Times New Roman" w:hAnsi="Times New Roman" w:cs="宋体"/>
          <w:sz w:val="24"/>
          <w:highlight w:val="none"/>
          <w:lang w:val="en-US" w:eastAsia="zh-CN"/>
        </w:rPr>
        <w:t>代理机构</w:t>
      </w:r>
      <w:r>
        <w:rPr>
          <w:rFonts w:hint="eastAsia" w:ascii="Times New Roman" w:hAnsi="Times New Roman" w:cs="宋体"/>
          <w:sz w:val="24"/>
          <w:highlight w:val="none"/>
        </w:rPr>
        <w:t>或采购人提出质疑。上述应知其权益受到损害之日，是指：</w:t>
      </w:r>
    </w:p>
    <w:p w14:paraId="0E45B855">
      <w:pPr>
        <w:spacing w:line="440" w:lineRule="exact"/>
        <w:ind w:firstLine="480" w:firstLineChars="200"/>
        <w:rPr>
          <w:rFonts w:ascii="Times New Roman" w:hAnsi="Times New Roman" w:cs="宋体"/>
          <w:sz w:val="24"/>
          <w:highlight w:val="none"/>
        </w:rPr>
      </w:pPr>
      <w:r>
        <w:rPr>
          <w:rFonts w:hint="eastAsia" w:ascii="Times New Roman" w:hAnsi="Times New Roman" w:cs="宋体"/>
          <w:sz w:val="24"/>
          <w:highlight w:val="none"/>
        </w:rPr>
        <w:t>29.2.1</w:t>
      </w:r>
      <w:r>
        <w:rPr>
          <w:rFonts w:ascii="Times New Roman" w:hAnsi="Times New Roman" w:cs="宋体"/>
          <w:sz w:val="24"/>
          <w:highlight w:val="none"/>
        </w:rPr>
        <w:t>对可以质疑的采购文件提出质疑的，为收到采购文件之日或者采购文件公告期限届满之日。</w:t>
      </w:r>
    </w:p>
    <w:p w14:paraId="4B6EF357">
      <w:pPr>
        <w:spacing w:line="440" w:lineRule="exact"/>
        <w:ind w:firstLine="480" w:firstLineChars="200"/>
        <w:rPr>
          <w:rFonts w:ascii="Times New Roman" w:hAnsi="Times New Roman" w:cs="宋体"/>
          <w:sz w:val="24"/>
          <w:highlight w:val="none"/>
        </w:rPr>
      </w:pPr>
      <w:r>
        <w:rPr>
          <w:rFonts w:hint="eastAsia" w:ascii="Times New Roman" w:hAnsi="Times New Roman" w:cs="宋体"/>
          <w:sz w:val="24"/>
          <w:highlight w:val="none"/>
        </w:rPr>
        <w:t>29.2.2</w:t>
      </w:r>
      <w:r>
        <w:rPr>
          <w:rFonts w:ascii="Times New Roman" w:hAnsi="Times New Roman" w:cs="宋体"/>
          <w:sz w:val="24"/>
          <w:highlight w:val="none"/>
        </w:rPr>
        <w:t>对采购过程提出质疑的，为各采购程序环节结束之日。</w:t>
      </w:r>
    </w:p>
    <w:p w14:paraId="39E956A0">
      <w:pPr>
        <w:spacing w:line="440" w:lineRule="exact"/>
        <w:ind w:firstLine="480" w:firstLineChars="200"/>
        <w:rPr>
          <w:rFonts w:ascii="Times New Roman" w:hAnsi="Times New Roman" w:cs="宋体"/>
          <w:sz w:val="24"/>
          <w:highlight w:val="none"/>
        </w:rPr>
      </w:pPr>
      <w:r>
        <w:rPr>
          <w:rFonts w:hint="eastAsia" w:ascii="Times New Roman" w:hAnsi="Times New Roman" w:cs="宋体"/>
          <w:sz w:val="24"/>
          <w:highlight w:val="none"/>
        </w:rPr>
        <w:t>29.2.3</w:t>
      </w:r>
      <w:r>
        <w:rPr>
          <w:rFonts w:ascii="Times New Roman" w:hAnsi="Times New Roman" w:cs="宋体"/>
          <w:sz w:val="24"/>
          <w:highlight w:val="none"/>
        </w:rPr>
        <w:t>对成交结果提出质疑的，为成交结果公告期限届满之日。</w:t>
      </w:r>
    </w:p>
    <w:p w14:paraId="29DDD902">
      <w:pPr>
        <w:spacing w:line="440" w:lineRule="exact"/>
        <w:ind w:firstLine="480" w:firstLineChars="200"/>
        <w:rPr>
          <w:rFonts w:ascii="Times New Roman" w:hAnsi="Times New Roman" w:cs="宋体"/>
          <w:sz w:val="24"/>
          <w:highlight w:val="none"/>
        </w:rPr>
      </w:pPr>
      <w:r>
        <w:rPr>
          <w:rFonts w:ascii="Times New Roman" w:hAnsi="Times New Roman" w:cs="宋体"/>
          <w:sz w:val="24"/>
          <w:highlight w:val="none"/>
        </w:rPr>
        <w:t>供应商应当在法定质疑期内一次性提出针对同一采购程序环节的质疑。供应商如在法定期限内对同一采购程序环节提出多次质疑的，采购人将只对供应商第一次质疑作出答复。</w:t>
      </w:r>
    </w:p>
    <w:p w14:paraId="144607AB">
      <w:pPr>
        <w:spacing w:line="440" w:lineRule="exact"/>
        <w:ind w:firstLine="480" w:firstLineChars="200"/>
        <w:rPr>
          <w:rFonts w:ascii="Times New Roman" w:hAnsi="Times New Roman" w:cs="宋体"/>
          <w:sz w:val="24"/>
          <w:highlight w:val="none"/>
        </w:rPr>
      </w:pPr>
      <w:r>
        <w:rPr>
          <w:rFonts w:hint="eastAsia" w:ascii="Times New Roman" w:hAnsi="Times New Roman" w:cs="宋体"/>
          <w:sz w:val="24"/>
          <w:highlight w:val="none"/>
        </w:rPr>
        <w:t>29.3质疑函必须按照本询价文件中《质疑函范本》要求的格式和内容进行填写。供应商如组成联合体参加询价，则《质疑函范本》中要求签字、盖章、加盖公章之处，联合体各方均须按要求签字、盖章、加盖公章。</w:t>
      </w:r>
    </w:p>
    <w:p w14:paraId="3DA07640">
      <w:pPr>
        <w:spacing w:line="440" w:lineRule="exact"/>
        <w:ind w:firstLine="480" w:firstLineChars="200"/>
        <w:rPr>
          <w:rFonts w:ascii="Times New Roman" w:hAnsi="Times New Roman" w:cs="宋体"/>
          <w:sz w:val="24"/>
          <w:highlight w:val="none"/>
        </w:rPr>
      </w:pPr>
      <w:r>
        <w:rPr>
          <w:rFonts w:hint="eastAsia" w:ascii="Times New Roman" w:hAnsi="Times New Roman" w:cs="宋体"/>
          <w:sz w:val="24"/>
          <w:highlight w:val="none"/>
        </w:rPr>
        <w:t>29.4 供应商（含潜在供应商）对采购方式、采购需求、供应商资格条件、评审方法与评审标准、合同文本的询问、质疑请向采购人提出，由采购人负责答复。供应商对其他事项的询问、质疑请向代理机构提出，由代理机构负责答复。</w:t>
      </w:r>
    </w:p>
    <w:p w14:paraId="2065663B">
      <w:pPr>
        <w:spacing w:line="440" w:lineRule="exact"/>
        <w:ind w:firstLine="480" w:firstLineChars="200"/>
        <w:rPr>
          <w:rFonts w:ascii="Times New Roman" w:hAnsi="Times New Roman" w:cs="宋体"/>
          <w:sz w:val="24"/>
          <w:highlight w:val="none"/>
        </w:rPr>
      </w:pPr>
      <w:r>
        <w:rPr>
          <w:rFonts w:hint="eastAsia" w:ascii="Times New Roman" w:hAnsi="Times New Roman" w:cs="宋体"/>
          <w:sz w:val="24"/>
          <w:highlight w:val="none"/>
        </w:rPr>
        <w:t>采购人及代理机构只接收以纸质原件形式送达的质疑,建议供应商尽量通过邮寄方式提交质疑（采购人和代理机构不接受未填写快递运单的快件）。</w:t>
      </w:r>
    </w:p>
    <w:p w14:paraId="511E12D6">
      <w:pPr>
        <w:spacing w:line="440" w:lineRule="exact"/>
        <w:ind w:firstLine="480" w:firstLineChars="200"/>
        <w:rPr>
          <w:rFonts w:ascii="Times New Roman" w:hAnsi="Times New Roman" w:cs="宋体"/>
          <w:sz w:val="24"/>
          <w:highlight w:val="none"/>
        </w:rPr>
      </w:pPr>
      <w:r>
        <w:rPr>
          <w:rFonts w:hint="eastAsia" w:ascii="Times New Roman" w:hAnsi="Times New Roman" w:cs="宋体"/>
          <w:sz w:val="24"/>
          <w:highlight w:val="none"/>
        </w:rPr>
        <w:t>29.5 以下情形的质疑不予受理</w:t>
      </w:r>
    </w:p>
    <w:p w14:paraId="18B560DA">
      <w:pPr>
        <w:spacing w:line="440" w:lineRule="exact"/>
        <w:ind w:firstLine="480" w:firstLineChars="200"/>
        <w:rPr>
          <w:rFonts w:ascii="Times New Roman" w:hAnsi="Times New Roman" w:cs="宋体"/>
          <w:sz w:val="24"/>
          <w:highlight w:val="none"/>
        </w:rPr>
      </w:pPr>
      <w:r>
        <w:rPr>
          <w:rFonts w:hint="eastAsia" w:ascii="Times New Roman" w:hAnsi="Times New Roman" w:cs="宋体"/>
          <w:sz w:val="24"/>
          <w:highlight w:val="none"/>
        </w:rPr>
        <w:t>29.5.1 内容不符合《政府采购质疑和投诉办法》第十二条规定的质疑。</w:t>
      </w:r>
    </w:p>
    <w:p w14:paraId="07BF73B6">
      <w:pPr>
        <w:spacing w:line="440" w:lineRule="exact"/>
        <w:ind w:firstLine="480" w:firstLineChars="200"/>
        <w:rPr>
          <w:rFonts w:ascii="Times New Roman" w:hAnsi="Times New Roman" w:cs="宋体"/>
          <w:sz w:val="24"/>
          <w:highlight w:val="none"/>
        </w:rPr>
      </w:pPr>
      <w:r>
        <w:rPr>
          <w:rFonts w:hint="eastAsia" w:ascii="Times New Roman" w:hAnsi="Times New Roman" w:cs="宋体"/>
          <w:sz w:val="24"/>
          <w:highlight w:val="none"/>
        </w:rPr>
        <w:t>29.5.2 超出政府采购法定期限的质疑。</w:t>
      </w:r>
    </w:p>
    <w:p w14:paraId="47348C2F">
      <w:pPr>
        <w:spacing w:line="440" w:lineRule="exact"/>
        <w:ind w:firstLine="480" w:firstLineChars="200"/>
        <w:rPr>
          <w:rFonts w:ascii="Times New Roman" w:hAnsi="Times New Roman" w:cs="宋体"/>
          <w:sz w:val="24"/>
          <w:highlight w:val="none"/>
        </w:rPr>
      </w:pPr>
      <w:r>
        <w:rPr>
          <w:rFonts w:hint="eastAsia" w:ascii="Times New Roman" w:hAnsi="Times New Roman" w:cs="宋体"/>
          <w:sz w:val="24"/>
          <w:highlight w:val="none"/>
        </w:rPr>
        <w:t>29.5.3 以传真、电子邮件等方式递交的非原件形式的质疑。</w:t>
      </w:r>
    </w:p>
    <w:p w14:paraId="7249F0FA">
      <w:pPr>
        <w:spacing w:line="440" w:lineRule="exact"/>
        <w:ind w:firstLine="480" w:firstLineChars="200"/>
        <w:rPr>
          <w:rFonts w:ascii="Times New Roman" w:hAnsi="Times New Roman" w:cs="宋体"/>
          <w:sz w:val="24"/>
          <w:highlight w:val="none"/>
        </w:rPr>
      </w:pPr>
      <w:r>
        <w:rPr>
          <w:rFonts w:hint="eastAsia" w:ascii="Times New Roman" w:hAnsi="Times New Roman" w:cs="宋体"/>
          <w:sz w:val="24"/>
          <w:highlight w:val="none"/>
        </w:rPr>
        <w:t>29.5.4 未参加询价活动的供应商或在询价活动中自身权益未受到损害的供应商所提出的质疑。</w:t>
      </w:r>
    </w:p>
    <w:p w14:paraId="1707C7B9">
      <w:pPr>
        <w:spacing w:line="440" w:lineRule="exact"/>
        <w:ind w:firstLine="480" w:firstLineChars="200"/>
        <w:rPr>
          <w:rFonts w:ascii="Times New Roman" w:hAnsi="Times New Roman" w:cs="宋体"/>
          <w:sz w:val="24"/>
          <w:highlight w:val="none"/>
        </w:rPr>
      </w:pPr>
      <w:r>
        <w:rPr>
          <w:rFonts w:hint="eastAsia" w:ascii="Times New Roman" w:hAnsi="Times New Roman" w:cs="宋体"/>
          <w:sz w:val="24"/>
          <w:highlight w:val="none"/>
        </w:rPr>
        <w:t>29.5.5供应商组成联合体参加询价，联合体中任何一方或多方未按要求签字、盖章、加盖公章的质疑。</w:t>
      </w:r>
    </w:p>
    <w:p w14:paraId="0488CAB4">
      <w:pPr>
        <w:spacing w:line="440" w:lineRule="exact"/>
        <w:ind w:firstLine="480" w:firstLineChars="200"/>
        <w:rPr>
          <w:rFonts w:ascii="Times New Roman" w:hAnsi="Times New Roman" w:cs="宋体"/>
          <w:sz w:val="24"/>
          <w:highlight w:val="none"/>
        </w:rPr>
      </w:pPr>
      <w:r>
        <w:rPr>
          <w:rFonts w:hint="eastAsia" w:ascii="Times New Roman" w:hAnsi="Times New Roman" w:cs="宋体"/>
          <w:sz w:val="24"/>
          <w:highlight w:val="none"/>
        </w:rPr>
        <w:t>29.6供应商提出书面质疑必须有理、有据，不得捏造事实、提供虚假材料进行恶意质疑。否则，一经查实，采购人有权依据政府采购的有关规定，报请政府采购监管部门对该供应商进行相应的行政处罚和记录该供应商的失信信息。</w:t>
      </w:r>
    </w:p>
    <w:p w14:paraId="7F662778">
      <w:pPr>
        <w:spacing w:line="440" w:lineRule="exact"/>
        <w:ind w:firstLine="480" w:firstLineChars="200"/>
        <w:rPr>
          <w:rFonts w:ascii="Times New Roman" w:hAnsi="Times New Roman" w:cs="宋体"/>
          <w:sz w:val="24"/>
          <w:highlight w:val="none"/>
        </w:rPr>
      </w:pPr>
      <w:r>
        <w:rPr>
          <w:rFonts w:hint="eastAsia" w:ascii="Times New Roman" w:hAnsi="Times New Roman" w:cs="宋体"/>
          <w:sz w:val="24"/>
          <w:highlight w:val="none"/>
        </w:rPr>
        <w:t>30、成交通知书</w:t>
      </w:r>
    </w:p>
    <w:p w14:paraId="79252C64">
      <w:pPr>
        <w:spacing w:line="440" w:lineRule="exact"/>
        <w:ind w:firstLine="480" w:firstLineChars="200"/>
        <w:rPr>
          <w:rFonts w:ascii="Times New Roman" w:hAnsi="Times New Roman" w:cs="宋体"/>
          <w:sz w:val="24"/>
          <w:highlight w:val="none"/>
        </w:rPr>
      </w:pPr>
      <w:r>
        <w:rPr>
          <w:rFonts w:hint="eastAsia" w:ascii="Times New Roman" w:hAnsi="Times New Roman" w:cs="宋体"/>
          <w:sz w:val="24"/>
          <w:highlight w:val="none"/>
        </w:rPr>
        <w:t>30.1成交结果确定后，采购人将向成交供应商发出成交通知书。请成交供应商在成交结果公告届满之日起30日内,使用CA数字证书登录苏采云系统及时下载成交通知书。因系统存储空间有限，自成交结果公告届满之日起30日后，苏采云系统不再保证提供下载成交通知书服务,因未及时下载而造成的不利后果由成交供应商自行承担。</w:t>
      </w:r>
    </w:p>
    <w:p w14:paraId="511F76D7">
      <w:pPr>
        <w:spacing w:line="440" w:lineRule="exact"/>
        <w:ind w:firstLine="480" w:firstLineChars="200"/>
        <w:rPr>
          <w:rFonts w:ascii="Times New Roman" w:hAnsi="Times New Roman" w:cs="宋体"/>
          <w:sz w:val="24"/>
          <w:highlight w:val="none"/>
        </w:rPr>
      </w:pPr>
      <w:r>
        <w:rPr>
          <w:rFonts w:hint="eastAsia" w:ascii="Times New Roman" w:hAnsi="Times New Roman" w:cs="宋体"/>
          <w:sz w:val="24"/>
          <w:highlight w:val="none"/>
        </w:rPr>
        <w:t>30.2成交通知书将是合同的一个组成部分。对采购人和成交供应商均具有法律效力。成交通知书发出后，采购人改变成交结果的，或者成交供应商放弃成交项目的，应当依法承担法律责任。</w:t>
      </w:r>
    </w:p>
    <w:p w14:paraId="07A430D3">
      <w:pPr>
        <w:spacing w:line="440" w:lineRule="exact"/>
        <w:ind w:firstLine="482" w:firstLineChars="200"/>
        <w:rPr>
          <w:rFonts w:ascii="Times New Roman" w:hAnsi="Times New Roman" w:cs="宋体"/>
          <w:b/>
          <w:bCs/>
          <w:sz w:val="24"/>
          <w:highlight w:val="none"/>
        </w:rPr>
      </w:pPr>
      <w:bookmarkStart w:id="107" w:name="_Toc20823308"/>
      <w:bookmarkStart w:id="108" w:name="_Toc16938552"/>
      <w:bookmarkStart w:id="109" w:name="_Toc120614220"/>
      <w:bookmarkStart w:id="110" w:name="_Toc513029236"/>
      <w:r>
        <w:rPr>
          <w:rFonts w:hint="eastAsia" w:ascii="Times New Roman" w:hAnsi="Times New Roman" w:cs="宋体"/>
          <w:b/>
          <w:bCs/>
          <w:sz w:val="24"/>
          <w:highlight w:val="none"/>
        </w:rPr>
        <w:t>六</w:t>
      </w:r>
      <w:r>
        <w:rPr>
          <w:rFonts w:ascii="Times New Roman" w:hAnsi="Times New Roman" w:cs="宋体"/>
          <w:b/>
          <w:bCs/>
          <w:sz w:val="24"/>
          <w:highlight w:val="none"/>
        </w:rPr>
        <w:t>、授予合同</w:t>
      </w:r>
      <w:bookmarkEnd w:id="107"/>
      <w:bookmarkEnd w:id="108"/>
      <w:bookmarkEnd w:id="109"/>
      <w:bookmarkEnd w:id="110"/>
    </w:p>
    <w:p w14:paraId="00D10BD3">
      <w:pPr>
        <w:spacing w:line="440" w:lineRule="exact"/>
        <w:ind w:firstLine="480" w:firstLineChars="200"/>
        <w:rPr>
          <w:rFonts w:ascii="Times New Roman" w:hAnsi="Times New Roman" w:cs="宋体"/>
          <w:sz w:val="24"/>
          <w:highlight w:val="none"/>
        </w:rPr>
      </w:pPr>
      <w:bookmarkStart w:id="111" w:name="_Toc513029237"/>
      <w:bookmarkStart w:id="112" w:name="_Toc16938553"/>
      <w:bookmarkStart w:id="113" w:name="_Toc20823309"/>
      <w:r>
        <w:rPr>
          <w:rFonts w:hint="eastAsia" w:ascii="Times New Roman" w:hAnsi="Times New Roman" w:cs="宋体"/>
          <w:sz w:val="24"/>
          <w:highlight w:val="none"/>
        </w:rPr>
        <w:t>31. 签订合同</w:t>
      </w:r>
      <w:bookmarkEnd w:id="111"/>
      <w:bookmarkEnd w:id="112"/>
      <w:bookmarkEnd w:id="113"/>
    </w:p>
    <w:p w14:paraId="5BB9201A">
      <w:pPr>
        <w:spacing w:line="440" w:lineRule="exact"/>
        <w:ind w:firstLine="480" w:firstLineChars="200"/>
        <w:rPr>
          <w:rFonts w:ascii="Times New Roman" w:hAnsi="Times New Roman" w:cs="宋体"/>
          <w:sz w:val="24"/>
          <w:highlight w:val="none"/>
        </w:rPr>
      </w:pPr>
      <w:r>
        <w:rPr>
          <w:rFonts w:hint="eastAsia" w:ascii="Times New Roman" w:hAnsi="Times New Roman" w:cs="宋体"/>
          <w:sz w:val="24"/>
          <w:highlight w:val="none"/>
        </w:rPr>
        <w:t>31.l成交供应商应当在成交通知书发出之日起三十日内，按照询价文件确定的事项与采购人签订政府采购合同。</w:t>
      </w:r>
    </w:p>
    <w:p w14:paraId="1540E494">
      <w:pPr>
        <w:spacing w:line="440" w:lineRule="exact"/>
        <w:ind w:firstLine="480" w:firstLineChars="200"/>
        <w:rPr>
          <w:rFonts w:ascii="Times New Roman" w:hAnsi="Times New Roman" w:cs="宋体"/>
          <w:sz w:val="24"/>
          <w:highlight w:val="none"/>
        </w:rPr>
      </w:pPr>
      <w:r>
        <w:rPr>
          <w:rFonts w:hint="eastAsia" w:ascii="Times New Roman" w:hAnsi="Times New Roman" w:cs="宋体"/>
          <w:sz w:val="24"/>
          <w:highlight w:val="none"/>
        </w:rPr>
        <w:t>31.2询价文件、成交供应商的响应文件及询价过程中有关澄清、承诺文件均应作为合同附件。</w:t>
      </w:r>
    </w:p>
    <w:p w14:paraId="66BEFC83">
      <w:pPr>
        <w:spacing w:line="440" w:lineRule="exact"/>
        <w:ind w:firstLine="480" w:firstLineChars="200"/>
        <w:rPr>
          <w:rFonts w:ascii="Times New Roman" w:hAnsi="Times New Roman" w:cs="宋体"/>
          <w:sz w:val="24"/>
          <w:highlight w:val="none"/>
        </w:rPr>
      </w:pPr>
      <w:r>
        <w:rPr>
          <w:rFonts w:hint="eastAsia" w:ascii="Times New Roman" w:hAnsi="Times New Roman" w:cs="宋体"/>
          <w:sz w:val="24"/>
          <w:highlight w:val="none"/>
        </w:rPr>
        <w:t>31.3 签订合同后，成交供应商不得将合同标的进行转包。未经采购人同意，成交供应商也不得采用分包形式履行合同,否则采购人有权终止合同。转包或分包造成采购人损失的，成交供应商应承担相应赔偿责任。</w:t>
      </w:r>
    </w:p>
    <w:p w14:paraId="2EED802D">
      <w:pPr>
        <w:spacing w:line="440" w:lineRule="exact"/>
        <w:ind w:firstLine="480" w:firstLineChars="200"/>
        <w:rPr>
          <w:rFonts w:ascii="Times New Roman" w:hAnsi="Times New Roman" w:cs="宋体"/>
          <w:sz w:val="24"/>
          <w:highlight w:val="none"/>
        </w:rPr>
      </w:pPr>
      <w:r>
        <w:rPr>
          <w:rFonts w:hint="eastAsia" w:ascii="Times New Roman" w:hAnsi="Times New Roman" w:cs="宋体"/>
          <w:sz w:val="24"/>
          <w:highlight w:val="none"/>
        </w:rPr>
        <w:t>32、标的物的追加</w:t>
      </w:r>
    </w:p>
    <w:p w14:paraId="366ECBB5">
      <w:pPr>
        <w:spacing w:line="440" w:lineRule="exact"/>
        <w:ind w:firstLine="480" w:firstLineChars="200"/>
        <w:rPr>
          <w:rFonts w:ascii="Times New Roman" w:hAnsi="Times New Roman" w:cs="宋体"/>
          <w:sz w:val="24"/>
          <w:highlight w:val="none"/>
        </w:rPr>
      </w:pPr>
      <w:r>
        <w:rPr>
          <w:rFonts w:hint="eastAsia" w:ascii="Times New Roman" w:hAnsi="Times New Roman" w:cs="宋体"/>
          <w:sz w:val="24"/>
          <w:highlight w:val="none"/>
        </w:rPr>
        <w:t>32.1政府采购合同履行中，采购人需追加与合同标的相同的货物、服务（包含与货物相关的服务及与服务相关的货物）的，在不改变合同其他条款的前提下，可以与成交供应商协商签订补充合同，但所有补充合同的采购金额不超过原合同金额10%。</w:t>
      </w:r>
    </w:p>
    <w:p w14:paraId="4D0447FF">
      <w:pPr>
        <w:spacing w:line="440" w:lineRule="exact"/>
        <w:ind w:firstLine="480" w:firstLineChars="200"/>
        <w:rPr>
          <w:rFonts w:ascii="Times New Roman" w:hAnsi="Times New Roman" w:cs="宋体"/>
          <w:sz w:val="24"/>
          <w:highlight w:val="none"/>
        </w:rPr>
      </w:pPr>
      <w:bookmarkStart w:id="114" w:name="_Toc20823314"/>
      <w:bookmarkStart w:id="115" w:name="_Toc479757207"/>
      <w:bookmarkStart w:id="116" w:name="_Toc513029242"/>
      <w:bookmarkStart w:id="117" w:name="_Toc120614221"/>
      <w:bookmarkStart w:id="118" w:name="_Toc16938558"/>
      <w:r>
        <w:rPr>
          <w:rFonts w:hint="eastAsia" w:ascii="Times New Roman" w:hAnsi="Times New Roman" w:cs="宋体"/>
          <w:sz w:val="24"/>
          <w:highlight w:val="none"/>
        </w:rPr>
        <w:t>33、</w:t>
      </w:r>
      <w:bookmarkEnd w:id="114"/>
      <w:bookmarkEnd w:id="115"/>
      <w:bookmarkEnd w:id="116"/>
      <w:bookmarkEnd w:id="117"/>
      <w:bookmarkEnd w:id="118"/>
      <w:r>
        <w:rPr>
          <w:rFonts w:hint="eastAsia" w:ascii="Times New Roman" w:hAnsi="Times New Roman" w:cs="宋体"/>
          <w:sz w:val="24"/>
          <w:highlight w:val="none"/>
        </w:rPr>
        <w:t>履约保证金</w:t>
      </w:r>
    </w:p>
    <w:p w14:paraId="5E467AB5">
      <w:pPr>
        <w:pStyle w:val="4"/>
        <w:keepNext w:val="0"/>
        <w:keepLines w:val="0"/>
        <w:pBdr>
          <w:top w:val="none" w:color="000000" w:sz="0" w:space="0"/>
          <w:left w:val="none" w:color="000000" w:sz="0" w:space="0"/>
          <w:bottom w:val="none" w:color="000000" w:sz="0" w:space="0"/>
          <w:right w:val="none" w:color="000000" w:sz="0" w:space="0"/>
        </w:pBdr>
        <w:spacing w:before="0" w:after="0" w:line="440" w:lineRule="exact"/>
        <w:ind w:firstLine="480" w:firstLineChars="200"/>
        <w:jc w:val="both"/>
        <w:rPr>
          <w:rFonts w:ascii="Times New Roman" w:hAnsi="Times New Roman" w:cs="宋体" w:eastAsiaTheme="minorEastAsia"/>
          <w:b w:val="0"/>
          <w:bCs w:val="0"/>
          <w:color w:val="000000"/>
          <w:sz w:val="24"/>
          <w:szCs w:val="24"/>
          <w:highlight w:val="none"/>
          <w:lang w:eastAsia="zh-CN"/>
        </w:rPr>
      </w:pPr>
      <w:bookmarkStart w:id="119" w:name="_Toc28359027"/>
      <w:r>
        <w:rPr>
          <w:rFonts w:ascii="Times New Roman" w:hAnsi="Times New Roman" w:cs="宋体" w:eastAsiaTheme="minorEastAsia"/>
          <w:b w:val="0"/>
          <w:bCs w:val="0"/>
          <w:color w:val="000000"/>
          <w:sz w:val="24"/>
          <w:szCs w:val="24"/>
          <w:highlight w:val="none"/>
          <w:lang w:eastAsia="zh-CN"/>
        </w:rPr>
        <w:t> 中标后，中标单位须向采购单位提交人民币作为履约保证金。履约保证金于合同履行后无息退还。鼓励采购人对AA评级及以上政府采购供应商（需提供信用管理部门备案的第三方信用报告），免收履约保证金或降低履约保证金缴纳比例。</w:t>
      </w:r>
    </w:p>
    <w:p w14:paraId="1F6FFB49">
      <w:pPr>
        <w:tabs>
          <w:tab w:val="left" w:pos="900"/>
        </w:tabs>
        <w:adjustRightInd w:val="0"/>
        <w:snapToGrid w:val="0"/>
        <w:spacing w:line="440" w:lineRule="exact"/>
        <w:ind w:firstLine="480" w:firstLineChars="200"/>
        <w:rPr>
          <w:rFonts w:ascii="Times New Roman" w:hAnsi="Times New Roman"/>
          <w:sz w:val="24"/>
          <w:highlight w:val="none"/>
        </w:rPr>
      </w:pPr>
      <w:r>
        <w:rPr>
          <w:rFonts w:hint="eastAsia" w:ascii="Times New Roman" w:hAnsi="Times New Roman"/>
          <w:sz w:val="24"/>
          <w:highlight w:val="none"/>
        </w:rPr>
        <w:t>政府采购供应商信用报告应满足市信用办《关于执行&lt;(江苏省企业信用评价指引(试行)〉落实信用报告互认互用的通知》(盐信用办〔2021〕16号)规定， 且信用报告概述页等内容通过“信用盐城”网站可查实。信用报告如出现争议、错误等问题，由市信用办依据相关规定给予核实认定。对供应商的违约行为，采购人应当及时报告同级信用管理部门、财政部门。</w:t>
      </w:r>
    </w:p>
    <w:p w14:paraId="54CD060F">
      <w:pPr>
        <w:tabs>
          <w:tab w:val="left" w:pos="900"/>
        </w:tabs>
        <w:adjustRightInd w:val="0"/>
        <w:snapToGrid w:val="0"/>
        <w:spacing w:line="440" w:lineRule="exact"/>
        <w:ind w:firstLine="480" w:firstLineChars="200"/>
        <w:rPr>
          <w:rFonts w:ascii="Times New Roman" w:hAnsi="Times New Roman" w:cs="宋体"/>
          <w:color w:val="000000"/>
          <w:sz w:val="24"/>
          <w:highlight w:val="none"/>
        </w:rPr>
      </w:pPr>
      <w:r>
        <w:rPr>
          <w:rFonts w:ascii="Times New Roman" w:hAnsi="Times New Roman" w:cs="宋体"/>
          <w:color w:val="000000"/>
          <w:sz w:val="24"/>
          <w:highlight w:val="none"/>
        </w:rPr>
        <w:t>中标或者成交后无正当理由拒不与采购人签订政府采购合同的，将被列入不良行为记录名单，在一至三年内禁止参加</w:t>
      </w:r>
      <w:r>
        <w:rPr>
          <w:rFonts w:hint="eastAsia" w:ascii="Times New Roman" w:hAnsi="Times New Roman" w:cs="宋体"/>
          <w:color w:val="000000"/>
          <w:sz w:val="24"/>
          <w:highlight w:val="none"/>
          <w:lang w:val="en-US" w:eastAsia="zh-CN"/>
        </w:rPr>
        <w:t>我单位组织的</w:t>
      </w:r>
      <w:r>
        <w:rPr>
          <w:rFonts w:ascii="Times New Roman" w:hAnsi="Times New Roman" w:cs="宋体"/>
          <w:color w:val="000000"/>
          <w:sz w:val="24"/>
          <w:highlight w:val="none"/>
        </w:rPr>
        <w:t>政府采购活动。</w:t>
      </w:r>
    </w:p>
    <w:p w14:paraId="5B5B92AA">
      <w:pPr>
        <w:tabs>
          <w:tab w:val="left" w:pos="900"/>
        </w:tabs>
        <w:adjustRightInd w:val="0"/>
        <w:snapToGrid w:val="0"/>
        <w:spacing w:line="440" w:lineRule="exact"/>
        <w:ind w:firstLine="480" w:firstLineChars="200"/>
        <w:rPr>
          <w:rFonts w:ascii="Times New Roman" w:hAnsi="Times New Roman" w:cs="宋体"/>
          <w:color w:val="000000"/>
          <w:sz w:val="24"/>
          <w:highlight w:val="none"/>
        </w:rPr>
      </w:pPr>
      <w:r>
        <w:rPr>
          <w:rFonts w:ascii="Times New Roman" w:hAnsi="Times New Roman" w:cs="宋体"/>
          <w:color w:val="000000"/>
          <w:sz w:val="24"/>
          <w:highlight w:val="none"/>
        </w:rPr>
        <w:t>收取履约保证金的，须在采购合同中约定退还履约保证金的方式、时间、条件和不予退还的情形，明确逾期退还履约保证金的违约责任</w:t>
      </w:r>
      <w:r>
        <w:rPr>
          <w:rFonts w:hint="eastAsia" w:ascii="Times New Roman" w:hAnsi="Times New Roman" w:cs="宋体"/>
          <w:color w:val="000000"/>
          <w:sz w:val="24"/>
          <w:highlight w:val="none"/>
        </w:rPr>
        <w:t>。</w:t>
      </w:r>
    </w:p>
    <w:p w14:paraId="3D71270C">
      <w:pPr>
        <w:pStyle w:val="4"/>
        <w:keepNext w:val="0"/>
        <w:keepLines w:val="0"/>
        <w:pBdr>
          <w:top w:val="none" w:color="000000" w:sz="0" w:space="0"/>
          <w:left w:val="none" w:color="000000" w:sz="0" w:space="0"/>
          <w:bottom w:val="none" w:color="000000" w:sz="0" w:space="0"/>
          <w:right w:val="none" w:color="000000" w:sz="0" w:space="0"/>
        </w:pBdr>
        <w:spacing w:before="0" w:after="0" w:line="440" w:lineRule="exact"/>
        <w:ind w:firstLine="480" w:firstLineChars="200"/>
        <w:jc w:val="both"/>
        <w:rPr>
          <w:rFonts w:ascii="Times New Roman" w:hAnsi="Times New Roman" w:cs="宋体" w:eastAsiaTheme="minorEastAsia"/>
          <w:b w:val="0"/>
          <w:bCs w:val="0"/>
          <w:color w:val="000000"/>
          <w:sz w:val="24"/>
          <w:szCs w:val="24"/>
          <w:highlight w:val="none"/>
          <w:lang w:eastAsia="zh-CN"/>
        </w:rPr>
      </w:pPr>
      <w:r>
        <w:rPr>
          <w:rFonts w:ascii="Times New Roman" w:hAnsi="Times New Roman" w:cs="宋体" w:eastAsiaTheme="minorEastAsia"/>
          <w:b w:val="0"/>
          <w:bCs w:val="0"/>
          <w:color w:val="000000"/>
          <w:sz w:val="24"/>
          <w:szCs w:val="24"/>
          <w:highlight w:val="none"/>
          <w:lang w:eastAsia="zh-CN"/>
        </w:rPr>
        <w:t>不得在政府采购货物和服务采购项目中收取质量保证金，不得将已收取的履约保证金转为质量保证金情况。</w:t>
      </w:r>
      <w:bookmarkEnd w:id="119"/>
    </w:p>
    <w:p w14:paraId="74E40B6F">
      <w:pPr>
        <w:tabs>
          <w:tab w:val="left" w:pos="900"/>
        </w:tabs>
        <w:adjustRightInd w:val="0"/>
        <w:snapToGrid w:val="0"/>
        <w:spacing w:line="440" w:lineRule="exact"/>
        <w:ind w:firstLine="420" w:firstLineChars="200"/>
        <w:rPr>
          <w:rFonts w:hint="eastAsia" w:ascii="Times New Roman" w:hAnsi="Times New Roman" w:cs="宋体"/>
          <w:color w:val="000000"/>
          <w:sz w:val="24"/>
          <w:highlight w:val="none"/>
          <w:lang w:val="en-US" w:eastAsia="zh-CN"/>
        </w:rPr>
      </w:pPr>
      <w:r>
        <w:rPr>
          <w:highlight w:val="none"/>
        </w:rPr>
        <w:br w:type="page"/>
      </w:r>
    </w:p>
    <w:p w14:paraId="2A290FCF">
      <w:pPr>
        <w:pStyle w:val="13"/>
        <w:widowControl/>
        <w:spacing w:line="640" w:lineRule="exact"/>
        <w:jc w:val="center"/>
        <w:outlineLvl w:val="0"/>
        <w:rPr>
          <w:rFonts w:ascii="Times New Roman" w:hAnsi="Times New Roman" w:eastAsia="方正小标宋_GBK"/>
          <w:color w:val="000000"/>
          <w:w w:val="95"/>
          <w:sz w:val="44"/>
          <w:szCs w:val="44"/>
          <w:highlight w:val="none"/>
        </w:rPr>
      </w:pPr>
      <w:bookmarkStart w:id="120" w:name="_Toc162856087"/>
      <w:r>
        <w:rPr>
          <w:rFonts w:hint="eastAsia" w:ascii="Times New Roman" w:hAnsi="Times New Roman" w:eastAsia="方正小标宋_GBK"/>
          <w:color w:val="000000"/>
          <w:w w:val="95"/>
          <w:sz w:val="44"/>
          <w:szCs w:val="44"/>
          <w:highlight w:val="none"/>
        </w:rPr>
        <w:t>第三部分  合同条款及格式</w:t>
      </w:r>
      <w:bookmarkEnd w:id="120"/>
    </w:p>
    <w:p w14:paraId="0AF08DA8">
      <w:pPr>
        <w:snapToGrid w:val="0"/>
        <w:spacing w:line="440" w:lineRule="exact"/>
        <w:ind w:firstLine="480" w:firstLineChars="200"/>
        <w:rPr>
          <w:rFonts w:ascii="Times New Roman" w:hAnsi="Times New Roman"/>
          <w:sz w:val="24"/>
          <w:highlight w:val="none"/>
        </w:rPr>
      </w:pPr>
      <w:bookmarkStart w:id="121" w:name="_Toc16938559"/>
      <w:bookmarkStart w:id="122" w:name="_Toc513029243"/>
      <w:bookmarkStart w:id="123" w:name="_Toc20823315"/>
      <w:r>
        <w:rPr>
          <w:rFonts w:hint="eastAsia" w:ascii="Times New Roman" w:hAnsi="Times New Roman"/>
          <w:sz w:val="24"/>
          <w:highlight w:val="none"/>
        </w:rPr>
        <w:t>以下为中标后签定本项目合同的通用条款，中标供应商不得提出实质性的修改，关于专用条款将由采购人与中标供应商结合本项目具体情况协商后签订。</w:t>
      </w:r>
    </w:p>
    <w:p w14:paraId="33581565">
      <w:pPr>
        <w:snapToGrid w:val="0"/>
        <w:spacing w:line="440" w:lineRule="exact"/>
        <w:ind w:firstLine="482" w:firstLineChars="200"/>
        <w:jc w:val="center"/>
        <w:rPr>
          <w:rFonts w:ascii="Times New Roman" w:hAnsi="Times New Roman"/>
          <w:b/>
          <w:bCs/>
          <w:sz w:val="24"/>
          <w:highlight w:val="none"/>
        </w:rPr>
      </w:pPr>
      <w:r>
        <w:rPr>
          <w:rFonts w:hint="eastAsia" w:ascii="Times New Roman" w:hAnsi="Times New Roman"/>
          <w:b/>
          <w:bCs/>
          <w:sz w:val="24"/>
          <w:highlight w:val="none"/>
        </w:rPr>
        <w:t>政府采购合同（货物）</w:t>
      </w:r>
    </w:p>
    <w:p w14:paraId="7FD2944A">
      <w:pPr>
        <w:snapToGrid w:val="0"/>
        <w:spacing w:line="440" w:lineRule="exact"/>
        <w:ind w:firstLine="480" w:firstLineChars="200"/>
        <w:rPr>
          <w:rFonts w:ascii="Times New Roman" w:hAnsi="Times New Roman"/>
          <w:sz w:val="24"/>
          <w:highlight w:val="none"/>
        </w:rPr>
      </w:pPr>
      <w:r>
        <w:rPr>
          <w:rFonts w:hint="eastAsia" w:ascii="Times New Roman" w:hAnsi="Times New Roman"/>
          <w:sz w:val="24"/>
          <w:highlight w:val="none"/>
        </w:rPr>
        <w:t>项目名称：</w:t>
      </w:r>
      <w:r>
        <w:rPr>
          <w:rFonts w:hint="eastAsia" w:ascii="Times New Roman" w:hAnsi="Times New Roman" w:cs="宋体"/>
          <w:color w:val="333333"/>
          <w:kern w:val="0"/>
          <w:sz w:val="24"/>
          <w:highlight w:val="none"/>
          <w:u w:val="single"/>
          <w:shd w:val="clear" w:color="auto" w:fill="FFFFFF"/>
          <w:lang w:bidi="ar"/>
        </w:rPr>
        <w:t>盐城幼儿师范高等专科学校</w:t>
      </w:r>
      <w:r>
        <w:rPr>
          <w:rFonts w:hint="eastAsia" w:ascii="Times New Roman" w:hAnsi="Times New Roman" w:cs="宋体"/>
          <w:color w:val="333333"/>
          <w:kern w:val="0"/>
          <w:sz w:val="24"/>
          <w:highlight w:val="none"/>
          <w:u w:val="single"/>
          <w:shd w:val="clear" w:color="auto" w:fill="FFFFFF"/>
          <w:lang w:eastAsia="zh-CN" w:bidi="ar"/>
        </w:rPr>
        <w:t>艺术中心音乐教室、公共教室、钢琴教室窗帘采购安装项目</w:t>
      </w:r>
      <w:r>
        <w:rPr>
          <w:rFonts w:hint="eastAsia" w:ascii="Times New Roman" w:hAnsi="Times New Roman"/>
          <w:sz w:val="24"/>
          <w:highlight w:val="none"/>
          <w:u w:val="single"/>
        </w:rPr>
        <w:t xml:space="preserve">   </w:t>
      </w:r>
      <w:r>
        <w:rPr>
          <w:rFonts w:hint="eastAsia" w:ascii="Times New Roman" w:hAnsi="Times New Roman"/>
          <w:sz w:val="24"/>
          <w:highlight w:val="none"/>
        </w:rPr>
        <w:t xml:space="preserve">                 </w:t>
      </w:r>
    </w:p>
    <w:p w14:paraId="0AF85615">
      <w:pPr>
        <w:snapToGrid w:val="0"/>
        <w:spacing w:line="440" w:lineRule="exact"/>
        <w:ind w:firstLine="480" w:firstLineChars="200"/>
        <w:rPr>
          <w:rFonts w:ascii="Times New Roman" w:hAnsi="Times New Roman"/>
          <w:sz w:val="24"/>
          <w:highlight w:val="none"/>
        </w:rPr>
      </w:pPr>
      <w:r>
        <w:rPr>
          <w:rFonts w:hint="eastAsia" w:ascii="Times New Roman" w:hAnsi="Times New Roman"/>
          <w:sz w:val="24"/>
          <w:highlight w:val="none"/>
        </w:rPr>
        <w:t>项目编号：</w:t>
      </w:r>
      <w:r>
        <w:rPr>
          <w:rFonts w:hint="eastAsia" w:ascii="Times New Roman" w:hAnsi="Times New Roman"/>
          <w:sz w:val="24"/>
          <w:highlight w:val="none"/>
          <w:u w:val="single"/>
        </w:rPr>
        <w:t xml:space="preserve">  YCYZ2024</w:t>
      </w:r>
      <w:r>
        <w:rPr>
          <w:rFonts w:hint="eastAsia" w:ascii="Times New Roman" w:hAnsi="Times New Roman"/>
          <w:sz w:val="24"/>
          <w:highlight w:val="none"/>
          <w:u w:val="single"/>
          <w:lang w:val="en-US" w:eastAsia="zh-CN"/>
        </w:rPr>
        <w:t>HW</w:t>
      </w:r>
      <w:r>
        <w:rPr>
          <w:rFonts w:hint="eastAsia" w:ascii="Times New Roman" w:hAnsi="Times New Roman"/>
          <w:sz w:val="24"/>
          <w:highlight w:val="none"/>
          <w:u w:val="single"/>
          <w:lang w:eastAsia="zh-CN"/>
        </w:rPr>
        <w:t>00</w:t>
      </w:r>
      <w:r>
        <w:rPr>
          <w:rFonts w:hint="eastAsia" w:ascii="Times New Roman" w:hAnsi="Times New Roman"/>
          <w:sz w:val="24"/>
          <w:highlight w:val="none"/>
          <w:u w:val="single"/>
          <w:lang w:val="en-US" w:eastAsia="zh-CN"/>
        </w:rPr>
        <w:t>1</w:t>
      </w:r>
      <w:r>
        <w:rPr>
          <w:rFonts w:hint="eastAsia" w:ascii="Times New Roman" w:hAnsi="Times New Roman"/>
          <w:sz w:val="24"/>
          <w:highlight w:val="none"/>
          <w:u w:val="single"/>
        </w:rPr>
        <w:t xml:space="preserve"> </w:t>
      </w:r>
      <w:r>
        <w:rPr>
          <w:rFonts w:hint="eastAsia" w:ascii="Times New Roman" w:hAnsi="Times New Roman"/>
          <w:sz w:val="24"/>
          <w:highlight w:val="none"/>
        </w:rPr>
        <w:t xml:space="preserve"> </w:t>
      </w:r>
    </w:p>
    <w:p w14:paraId="12C15050">
      <w:pPr>
        <w:snapToGrid w:val="0"/>
        <w:spacing w:line="440" w:lineRule="exact"/>
        <w:ind w:firstLine="480" w:firstLineChars="200"/>
        <w:rPr>
          <w:rFonts w:ascii="Times New Roman" w:hAnsi="Times New Roman"/>
          <w:sz w:val="24"/>
          <w:highlight w:val="none"/>
        </w:rPr>
      </w:pPr>
      <w:r>
        <w:rPr>
          <w:rFonts w:ascii="Times New Roman" w:hAnsi="Times New Roman"/>
          <w:sz w:val="24"/>
          <w:highlight w:val="none"/>
        </w:rPr>
        <w:t>甲方：（买方）________</w:t>
      </w:r>
      <w:r>
        <w:rPr>
          <w:rFonts w:hint="eastAsia" w:ascii="Times New Roman" w:hAnsi="Times New Roman"/>
          <w:sz w:val="24"/>
          <w:highlight w:val="none"/>
        </w:rPr>
        <w:t xml:space="preserve"> </w:t>
      </w:r>
    </w:p>
    <w:p w14:paraId="4346E261">
      <w:pPr>
        <w:snapToGrid w:val="0"/>
        <w:spacing w:line="440" w:lineRule="exact"/>
        <w:ind w:firstLine="480" w:firstLineChars="200"/>
        <w:rPr>
          <w:rFonts w:ascii="Times New Roman" w:hAnsi="Times New Roman"/>
          <w:sz w:val="24"/>
          <w:highlight w:val="none"/>
        </w:rPr>
      </w:pPr>
      <w:r>
        <w:rPr>
          <w:rFonts w:ascii="Times New Roman" w:hAnsi="Times New Roman"/>
          <w:sz w:val="24"/>
          <w:highlight w:val="none"/>
        </w:rPr>
        <w:t>乙方：（卖方）________</w:t>
      </w:r>
      <w:r>
        <w:rPr>
          <w:rFonts w:hint="eastAsia" w:ascii="Times New Roman" w:hAnsi="Times New Roman"/>
          <w:sz w:val="24"/>
          <w:highlight w:val="none"/>
        </w:rPr>
        <w:t xml:space="preserve"> </w:t>
      </w:r>
    </w:p>
    <w:p w14:paraId="6C9A73D6">
      <w:pPr>
        <w:snapToGrid w:val="0"/>
        <w:spacing w:line="440" w:lineRule="exact"/>
        <w:ind w:firstLine="480" w:firstLineChars="200"/>
        <w:rPr>
          <w:rFonts w:ascii="Times New Roman" w:hAnsi="Times New Roman"/>
          <w:sz w:val="24"/>
          <w:highlight w:val="none"/>
        </w:rPr>
      </w:pPr>
      <w:r>
        <w:rPr>
          <w:rFonts w:hint="eastAsia" w:ascii="Times New Roman" w:hAnsi="Times New Roman"/>
          <w:sz w:val="24"/>
          <w:highlight w:val="none"/>
        </w:rPr>
        <w:t>甲、</w:t>
      </w:r>
      <w:r>
        <w:rPr>
          <w:rFonts w:ascii="Times New Roman" w:hAnsi="Times New Roman"/>
          <w:sz w:val="24"/>
          <w:highlight w:val="none"/>
        </w:rPr>
        <w:t>乙双方根据</w:t>
      </w:r>
      <w:r>
        <w:rPr>
          <w:rFonts w:hint="eastAsia" w:ascii="Times New Roman" w:hAnsi="Times New Roman" w:cs="宋体"/>
          <w:color w:val="333333"/>
          <w:kern w:val="0"/>
          <w:sz w:val="24"/>
          <w:highlight w:val="none"/>
          <w:u w:val="single"/>
          <w:shd w:val="clear" w:color="auto" w:fill="FFFFFF"/>
          <w:lang w:bidi="ar"/>
        </w:rPr>
        <w:t>盐城幼儿师范高等专科学校</w:t>
      </w:r>
      <w:r>
        <w:rPr>
          <w:rFonts w:hint="eastAsia" w:ascii="Times New Roman" w:hAnsi="Times New Roman" w:cs="宋体"/>
          <w:color w:val="333333"/>
          <w:kern w:val="0"/>
          <w:sz w:val="24"/>
          <w:highlight w:val="none"/>
          <w:u w:val="single"/>
          <w:shd w:val="clear" w:color="auto" w:fill="FFFFFF"/>
          <w:lang w:eastAsia="zh-CN" w:bidi="ar"/>
        </w:rPr>
        <w:t>艺术中心音乐教室、公共教室、钢琴教室窗帘采购安装项目</w:t>
      </w:r>
      <w:r>
        <w:rPr>
          <w:rFonts w:hint="eastAsia" w:ascii="Times New Roman" w:hAnsi="Times New Roman"/>
          <w:sz w:val="24"/>
          <w:highlight w:val="none"/>
        </w:rPr>
        <w:t>询价</w:t>
      </w:r>
      <w:r>
        <w:rPr>
          <w:rFonts w:ascii="Times New Roman" w:hAnsi="Times New Roman"/>
          <w:sz w:val="24"/>
          <w:highlight w:val="none"/>
        </w:rPr>
        <w:t>的结果，签署本合同。</w:t>
      </w:r>
    </w:p>
    <w:p w14:paraId="458F98DC">
      <w:pPr>
        <w:snapToGrid w:val="0"/>
        <w:spacing w:line="440" w:lineRule="exact"/>
        <w:ind w:firstLine="482" w:firstLineChars="200"/>
        <w:rPr>
          <w:rFonts w:ascii="Times New Roman" w:hAnsi="Times New Roman"/>
          <w:b/>
          <w:sz w:val="24"/>
          <w:highlight w:val="none"/>
        </w:rPr>
      </w:pPr>
      <w:r>
        <w:rPr>
          <w:rFonts w:ascii="Times New Roman" w:hAnsi="Times New Roman"/>
          <w:b/>
          <w:sz w:val="24"/>
          <w:highlight w:val="none"/>
        </w:rPr>
        <w:t>一、货物内容</w:t>
      </w:r>
    </w:p>
    <w:p w14:paraId="3C9B0EA8">
      <w:pPr>
        <w:snapToGrid w:val="0"/>
        <w:spacing w:line="440" w:lineRule="exact"/>
        <w:ind w:firstLine="480" w:firstLineChars="200"/>
        <w:rPr>
          <w:rFonts w:ascii="Times New Roman" w:hAnsi="Times New Roman" w:cs="宋体"/>
          <w:sz w:val="24"/>
          <w:highlight w:val="none"/>
        </w:rPr>
      </w:pPr>
      <w:r>
        <w:rPr>
          <w:rFonts w:ascii="Times New Roman" w:hAnsi="Times New Roman"/>
          <w:sz w:val="24"/>
          <w:highlight w:val="none"/>
        </w:rPr>
        <w:t>1.1 货物名称：</w:t>
      </w:r>
      <w:r>
        <w:rPr>
          <w:rFonts w:hint="eastAsia" w:ascii="Times New Roman" w:hAnsi="Times New Roman" w:cs="宋体"/>
          <w:color w:val="333333"/>
          <w:kern w:val="0"/>
          <w:sz w:val="24"/>
          <w:highlight w:val="none"/>
          <w:shd w:val="clear" w:color="auto" w:fill="FFFFFF"/>
          <w:lang w:bidi="ar"/>
        </w:rPr>
        <w:t>盐城幼儿师范高等专科学校</w:t>
      </w:r>
      <w:r>
        <w:rPr>
          <w:rFonts w:hint="eastAsia" w:ascii="Times New Roman" w:hAnsi="Times New Roman" w:cs="宋体"/>
          <w:color w:val="333333"/>
          <w:kern w:val="0"/>
          <w:sz w:val="24"/>
          <w:highlight w:val="none"/>
          <w:shd w:val="clear" w:color="auto" w:fill="FFFFFF"/>
          <w:lang w:eastAsia="zh-CN" w:bidi="ar"/>
        </w:rPr>
        <w:t>艺术中心音乐教室、公共教室、钢琴教室窗帘采购安装项目</w:t>
      </w:r>
      <w:r>
        <w:rPr>
          <w:rFonts w:hint="eastAsia" w:ascii="Times New Roman" w:hAnsi="Times New Roman"/>
          <w:sz w:val="24"/>
          <w:highlight w:val="none"/>
        </w:rPr>
        <w:t xml:space="preserve"> </w:t>
      </w:r>
    </w:p>
    <w:p w14:paraId="0510B2C1">
      <w:pPr>
        <w:snapToGrid w:val="0"/>
        <w:spacing w:line="440" w:lineRule="exact"/>
        <w:ind w:firstLine="480" w:firstLineChars="200"/>
        <w:rPr>
          <w:rFonts w:ascii="Times New Roman" w:hAnsi="Times New Roman"/>
          <w:sz w:val="24"/>
          <w:highlight w:val="none"/>
        </w:rPr>
      </w:pPr>
      <w:r>
        <w:rPr>
          <w:rFonts w:ascii="Times New Roman" w:hAnsi="Times New Roman"/>
          <w:sz w:val="24"/>
          <w:highlight w:val="none"/>
        </w:rPr>
        <w:t>1.2 型号规格：</w:t>
      </w:r>
      <w:r>
        <w:rPr>
          <w:rFonts w:hint="eastAsia" w:ascii="Times New Roman" w:hAnsi="Times New Roman"/>
          <w:sz w:val="24"/>
          <w:highlight w:val="none"/>
        </w:rPr>
        <w:t>详见询价文件</w:t>
      </w:r>
    </w:p>
    <w:p w14:paraId="186F6531">
      <w:pPr>
        <w:snapToGrid w:val="0"/>
        <w:spacing w:line="440" w:lineRule="exact"/>
        <w:ind w:firstLine="480" w:firstLineChars="200"/>
        <w:rPr>
          <w:rFonts w:ascii="Times New Roman" w:hAnsi="Times New Roman"/>
          <w:sz w:val="24"/>
          <w:highlight w:val="none"/>
        </w:rPr>
      </w:pPr>
      <w:r>
        <w:rPr>
          <w:rFonts w:ascii="Times New Roman" w:hAnsi="Times New Roman"/>
          <w:sz w:val="24"/>
          <w:highlight w:val="none"/>
        </w:rPr>
        <w:t>1.3 数量（单位）：</w:t>
      </w:r>
      <w:r>
        <w:rPr>
          <w:rFonts w:hint="eastAsia" w:ascii="Times New Roman" w:hAnsi="Times New Roman"/>
          <w:sz w:val="24"/>
          <w:highlight w:val="none"/>
        </w:rPr>
        <w:t>详见询价文件</w:t>
      </w:r>
    </w:p>
    <w:p w14:paraId="206409AA">
      <w:pPr>
        <w:snapToGrid w:val="0"/>
        <w:spacing w:line="440" w:lineRule="exact"/>
        <w:ind w:firstLine="482" w:firstLineChars="200"/>
        <w:rPr>
          <w:rFonts w:ascii="Times New Roman" w:hAnsi="Times New Roman"/>
          <w:b/>
          <w:sz w:val="24"/>
          <w:highlight w:val="none"/>
        </w:rPr>
      </w:pPr>
      <w:r>
        <w:rPr>
          <w:rFonts w:ascii="Times New Roman" w:hAnsi="Times New Roman"/>
          <w:b/>
          <w:sz w:val="24"/>
          <w:highlight w:val="none"/>
        </w:rPr>
        <w:t>二、合同金额</w:t>
      </w:r>
    </w:p>
    <w:p w14:paraId="5EC8B8C9">
      <w:pPr>
        <w:snapToGrid w:val="0"/>
        <w:spacing w:line="440" w:lineRule="exact"/>
        <w:ind w:firstLine="480" w:firstLineChars="200"/>
        <w:rPr>
          <w:rFonts w:ascii="Times New Roman" w:hAnsi="Times New Roman"/>
          <w:sz w:val="24"/>
          <w:highlight w:val="none"/>
        </w:rPr>
      </w:pPr>
      <w:r>
        <w:rPr>
          <w:rFonts w:ascii="Times New Roman" w:hAnsi="Times New Roman"/>
          <w:sz w:val="24"/>
          <w:highlight w:val="none"/>
        </w:rPr>
        <w:t>2.1 本合同金额为（大写）：_________圆整（￥_______元）人民币。</w:t>
      </w:r>
    </w:p>
    <w:p w14:paraId="0713D180">
      <w:pPr>
        <w:spacing w:line="440" w:lineRule="exact"/>
        <w:ind w:firstLine="480" w:firstLineChars="200"/>
        <w:rPr>
          <w:rFonts w:hint="eastAsia" w:ascii="Times New Roman" w:hAnsi="Times New Roman" w:cs="宋体"/>
          <w:sz w:val="24"/>
          <w:highlight w:val="none"/>
        </w:rPr>
      </w:pPr>
      <w:r>
        <w:rPr>
          <w:rFonts w:ascii="Times New Roman" w:hAnsi="Times New Roman" w:cs="宋体"/>
          <w:sz w:val="24"/>
          <w:highlight w:val="none"/>
        </w:rPr>
        <w:t>本合同价是指</w:t>
      </w:r>
      <w:r>
        <w:rPr>
          <w:rFonts w:hint="eastAsia" w:ascii="Times New Roman" w:hAnsi="Times New Roman" w:cs="宋体"/>
          <w:sz w:val="24"/>
          <w:highlight w:val="none"/>
        </w:rPr>
        <w:t>乙方为完成</w:t>
      </w:r>
      <w:r>
        <w:rPr>
          <w:rFonts w:hint="eastAsia" w:ascii="Times New Roman" w:hAnsi="Times New Roman" w:cs="宋体"/>
          <w:sz w:val="24"/>
          <w:highlight w:val="none"/>
          <w:lang w:val="en-US" w:eastAsia="zh-CN"/>
        </w:rPr>
        <w:t>询价</w:t>
      </w:r>
      <w:r>
        <w:rPr>
          <w:rFonts w:hint="eastAsia" w:ascii="Times New Roman" w:hAnsi="Times New Roman" w:cs="宋体"/>
          <w:sz w:val="24"/>
          <w:highlight w:val="none"/>
        </w:rPr>
        <w:t>文件（含采购清单）确定的采购范围内的所有工作内容的总费用</w:t>
      </w:r>
      <w:r>
        <w:rPr>
          <w:rFonts w:ascii="Times New Roman" w:hAnsi="Times New Roman" w:cs="宋体"/>
          <w:sz w:val="24"/>
          <w:highlight w:val="none"/>
        </w:rPr>
        <w:t>。价格组成包括（但不限于）</w:t>
      </w:r>
      <w:r>
        <w:rPr>
          <w:rFonts w:hint="eastAsia" w:ascii="Times New Roman" w:hAnsi="Times New Roman" w:cs="宋体"/>
          <w:sz w:val="24"/>
          <w:highlight w:val="none"/>
          <w:lang w:val="en-US" w:eastAsia="zh-CN"/>
        </w:rPr>
        <w:t>所有</w:t>
      </w:r>
      <w:r>
        <w:rPr>
          <w:rFonts w:hint="eastAsia" w:ascii="Times New Roman" w:hAnsi="Times New Roman" w:cs="宋体"/>
          <w:sz w:val="24"/>
          <w:highlight w:val="none"/>
        </w:rPr>
        <w:t>货物采购、</w:t>
      </w:r>
      <w:r>
        <w:rPr>
          <w:rFonts w:hint="eastAsia" w:ascii="Times New Roman" w:hAnsi="Times New Roman" w:cs="宋体"/>
          <w:sz w:val="24"/>
          <w:highlight w:val="none"/>
          <w:lang w:val="en-US" w:eastAsia="zh-CN"/>
        </w:rPr>
        <w:t>加工、</w:t>
      </w:r>
      <w:r>
        <w:rPr>
          <w:rFonts w:hint="eastAsia" w:ascii="宋体" w:hAnsi="宋体" w:cs="宋体"/>
          <w:kern w:val="0"/>
          <w:sz w:val="24"/>
          <w:szCs w:val="24"/>
        </w:rPr>
        <w:t>包装</w:t>
      </w:r>
      <w:r>
        <w:rPr>
          <w:rFonts w:hint="eastAsia" w:ascii="宋体" w:hAnsi="宋体" w:cs="宋体"/>
          <w:kern w:val="0"/>
          <w:sz w:val="24"/>
          <w:szCs w:val="24"/>
          <w:lang w:eastAsia="zh-CN"/>
        </w:rPr>
        <w:t>、</w:t>
      </w:r>
      <w:r>
        <w:rPr>
          <w:rFonts w:hint="eastAsia" w:ascii="Times New Roman" w:hAnsi="Times New Roman" w:cs="宋体"/>
          <w:sz w:val="24"/>
          <w:highlight w:val="none"/>
        </w:rPr>
        <w:t>供应（含备品备件、专用工具等）、运输、安装（含辅材）、</w:t>
      </w:r>
      <w:r>
        <w:rPr>
          <w:rFonts w:hint="eastAsia" w:ascii="Times New Roman" w:hAnsi="Times New Roman"/>
          <w:sz w:val="24"/>
          <w:highlight w:val="none"/>
        </w:rPr>
        <w:t>管理费、利润、税金、</w:t>
      </w:r>
      <w:r>
        <w:rPr>
          <w:rFonts w:hint="eastAsia" w:ascii="Times New Roman" w:hAnsi="Times New Roman" w:cs="宋体"/>
          <w:sz w:val="24"/>
          <w:highlight w:val="none"/>
        </w:rPr>
        <w:t>验收</w:t>
      </w:r>
      <w:r>
        <w:rPr>
          <w:rFonts w:hint="eastAsia" w:ascii="Times New Roman" w:hAnsi="Times New Roman" w:cs="宋体"/>
          <w:sz w:val="24"/>
          <w:highlight w:val="none"/>
          <w:lang w:eastAsia="zh-CN"/>
        </w:rPr>
        <w:t>、</w:t>
      </w:r>
      <w:r>
        <w:rPr>
          <w:rFonts w:hint="eastAsia" w:ascii="Times New Roman" w:hAnsi="Times New Roman" w:cs="宋体"/>
          <w:sz w:val="24"/>
          <w:highlight w:val="none"/>
        </w:rPr>
        <w:t>合同期内的市场风险及国家政策性调整风险、不可预见费和售后等相关伴随服务而涵盖的所有费用。凡漏项或少计均视为优惠，甲方不另行增加费用。</w:t>
      </w:r>
    </w:p>
    <w:p w14:paraId="4E2BA009">
      <w:pPr>
        <w:snapToGrid w:val="0"/>
        <w:spacing w:line="440" w:lineRule="exact"/>
        <w:ind w:firstLine="482" w:firstLineChars="200"/>
        <w:rPr>
          <w:rFonts w:ascii="Times New Roman" w:hAnsi="Times New Roman"/>
          <w:b/>
          <w:sz w:val="24"/>
          <w:highlight w:val="none"/>
        </w:rPr>
      </w:pPr>
      <w:r>
        <w:rPr>
          <w:rFonts w:ascii="Times New Roman" w:hAnsi="Times New Roman"/>
          <w:b/>
          <w:sz w:val="24"/>
          <w:highlight w:val="none"/>
        </w:rPr>
        <w:t>三、技术资料</w:t>
      </w:r>
    </w:p>
    <w:p w14:paraId="37846EBD">
      <w:pPr>
        <w:snapToGrid w:val="0"/>
        <w:spacing w:line="440" w:lineRule="exact"/>
        <w:ind w:firstLine="480" w:firstLineChars="200"/>
        <w:rPr>
          <w:rFonts w:ascii="Times New Roman" w:hAnsi="Times New Roman"/>
          <w:sz w:val="24"/>
          <w:highlight w:val="none"/>
        </w:rPr>
      </w:pPr>
      <w:r>
        <w:rPr>
          <w:rFonts w:ascii="Times New Roman" w:hAnsi="Times New Roman"/>
          <w:sz w:val="24"/>
          <w:highlight w:val="none"/>
        </w:rPr>
        <w:t>3.1乙方应按</w:t>
      </w:r>
      <w:r>
        <w:rPr>
          <w:rFonts w:hint="eastAsia" w:ascii="Times New Roman" w:hAnsi="Times New Roman"/>
          <w:sz w:val="24"/>
          <w:highlight w:val="none"/>
        </w:rPr>
        <w:t>询价</w:t>
      </w:r>
      <w:r>
        <w:rPr>
          <w:rFonts w:ascii="Times New Roman" w:hAnsi="Times New Roman"/>
          <w:sz w:val="24"/>
          <w:highlight w:val="none"/>
        </w:rPr>
        <w:t>文件规定的时间向甲方提供使用货物的有关技术资料。</w:t>
      </w:r>
    </w:p>
    <w:p w14:paraId="22C1593E">
      <w:pPr>
        <w:snapToGrid w:val="0"/>
        <w:spacing w:line="440" w:lineRule="exact"/>
        <w:ind w:firstLine="480" w:firstLineChars="200"/>
        <w:rPr>
          <w:rFonts w:ascii="Times New Roman" w:hAnsi="Times New Roman"/>
          <w:sz w:val="24"/>
          <w:highlight w:val="none"/>
        </w:rPr>
      </w:pPr>
      <w:r>
        <w:rPr>
          <w:rFonts w:ascii="Times New Roman" w:hAnsi="Times New Roman"/>
          <w:sz w:val="24"/>
          <w:highlight w:val="none"/>
        </w:rPr>
        <w:t>3.</w:t>
      </w:r>
      <w:r>
        <w:rPr>
          <w:rFonts w:hint="eastAsia" w:ascii="Times New Roman" w:hAnsi="Times New Roman"/>
          <w:sz w:val="24"/>
          <w:highlight w:val="none"/>
        </w:rPr>
        <w:t>2</w:t>
      </w:r>
      <w:r>
        <w:rPr>
          <w:rFonts w:ascii="Times New Roman" w:hAnsi="Times New Roman"/>
          <w:sz w:val="24"/>
          <w:highlight w:val="none"/>
        </w:rPr>
        <w:t>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14:paraId="5B80ADE7">
      <w:pPr>
        <w:numPr>
          <w:ilvl w:val="0"/>
          <w:numId w:val="1"/>
        </w:numPr>
        <w:snapToGrid w:val="0"/>
        <w:spacing w:line="440" w:lineRule="exact"/>
        <w:ind w:firstLine="482" w:firstLineChars="200"/>
        <w:rPr>
          <w:rFonts w:ascii="Times New Roman" w:hAnsi="Times New Roman"/>
          <w:b/>
          <w:sz w:val="24"/>
          <w:highlight w:val="none"/>
        </w:rPr>
      </w:pPr>
      <w:r>
        <w:rPr>
          <w:rFonts w:ascii="Times New Roman" w:hAnsi="Times New Roman"/>
          <w:b/>
          <w:sz w:val="24"/>
          <w:highlight w:val="none"/>
        </w:rPr>
        <w:t>知识产权</w:t>
      </w:r>
    </w:p>
    <w:p w14:paraId="15B3B7ED">
      <w:pPr>
        <w:snapToGrid w:val="0"/>
        <w:spacing w:line="440" w:lineRule="exact"/>
        <w:ind w:firstLine="480" w:firstLineChars="200"/>
        <w:rPr>
          <w:rFonts w:ascii="Times New Roman" w:hAnsi="Times New Roman"/>
          <w:sz w:val="24"/>
          <w:highlight w:val="none"/>
        </w:rPr>
      </w:pPr>
      <w:r>
        <w:rPr>
          <w:rFonts w:ascii="Times New Roman" w:hAnsi="Times New Roman"/>
          <w:sz w:val="24"/>
          <w:highlight w:val="none"/>
        </w:rPr>
        <w:t>4.1乙</w:t>
      </w:r>
      <w:r>
        <w:rPr>
          <w:rFonts w:hint="eastAsia" w:ascii="Times New Roman" w:hAnsi="Times New Roman"/>
          <w:sz w:val="24"/>
          <w:highlight w:val="none"/>
        </w:rPr>
        <w:t>方应保证甲方在使用、接受本合同货物和服务或其任何一部分时不受第三方提出侵犯其专利权、版权、商标权和工业设计权等知识产权的起诉。一旦出现侵权，由乙方负全部责任。</w:t>
      </w:r>
    </w:p>
    <w:p w14:paraId="03606E98">
      <w:pPr>
        <w:numPr>
          <w:ilvl w:val="0"/>
          <w:numId w:val="1"/>
        </w:numPr>
        <w:snapToGrid w:val="0"/>
        <w:spacing w:line="440" w:lineRule="exact"/>
        <w:ind w:firstLine="482" w:firstLineChars="200"/>
        <w:rPr>
          <w:rFonts w:ascii="Times New Roman" w:hAnsi="Times New Roman"/>
          <w:b/>
          <w:sz w:val="24"/>
          <w:highlight w:val="none"/>
        </w:rPr>
      </w:pPr>
      <w:r>
        <w:rPr>
          <w:rFonts w:ascii="Times New Roman" w:hAnsi="Times New Roman"/>
          <w:b/>
          <w:sz w:val="24"/>
          <w:highlight w:val="none"/>
        </w:rPr>
        <w:t>产权担保</w:t>
      </w:r>
    </w:p>
    <w:p w14:paraId="16421F84">
      <w:pPr>
        <w:snapToGrid w:val="0"/>
        <w:spacing w:line="440" w:lineRule="exact"/>
        <w:ind w:firstLine="480" w:firstLineChars="200"/>
        <w:rPr>
          <w:rFonts w:ascii="Times New Roman" w:hAnsi="Times New Roman"/>
          <w:sz w:val="24"/>
          <w:highlight w:val="none"/>
        </w:rPr>
      </w:pPr>
      <w:r>
        <w:rPr>
          <w:rFonts w:ascii="Times New Roman" w:hAnsi="Times New Roman"/>
          <w:sz w:val="24"/>
          <w:highlight w:val="none"/>
        </w:rPr>
        <w:t>5.1 乙方保证所交付的货物的所有权完全属于乙方且无任何抵押、查封等产权瑕</w:t>
      </w:r>
      <w:r>
        <w:rPr>
          <w:rFonts w:hint="eastAsia" w:ascii="Times New Roman" w:hAnsi="Times New Roman"/>
          <w:sz w:val="24"/>
          <w:highlight w:val="none"/>
        </w:rPr>
        <w:t>疵。</w:t>
      </w:r>
    </w:p>
    <w:p w14:paraId="39811A32">
      <w:pPr>
        <w:snapToGrid w:val="0"/>
        <w:spacing w:line="440" w:lineRule="exact"/>
        <w:ind w:firstLine="482" w:firstLineChars="200"/>
        <w:rPr>
          <w:rFonts w:ascii="Times New Roman" w:hAnsi="Times New Roman"/>
          <w:b/>
          <w:bCs/>
          <w:sz w:val="24"/>
          <w:highlight w:val="none"/>
        </w:rPr>
      </w:pPr>
      <w:r>
        <w:rPr>
          <w:rFonts w:hint="eastAsia" w:ascii="Times New Roman" w:hAnsi="Times New Roman"/>
          <w:b/>
          <w:bCs/>
          <w:sz w:val="24"/>
          <w:highlight w:val="none"/>
        </w:rPr>
        <w:t>六、履约保证金</w:t>
      </w:r>
    </w:p>
    <w:p w14:paraId="17E4F6FE">
      <w:pPr>
        <w:snapToGrid w:val="0"/>
        <w:spacing w:line="440" w:lineRule="exact"/>
        <w:ind w:firstLine="480" w:firstLineChars="200"/>
        <w:rPr>
          <w:rFonts w:ascii="Times New Roman" w:hAnsi="Times New Roman" w:cs="宋体"/>
          <w:sz w:val="24"/>
          <w:highlight w:val="none"/>
        </w:rPr>
      </w:pPr>
      <w:r>
        <w:rPr>
          <w:rFonts w:hint="eastAsia" w:ascii="Times New Roman" w:hAnsi="Times New Roman" w:cs="宋体"/>
          <w:sz w:val="24"/>
          <w:highlight w:val="none"/>
        </w:rPr>
        <w:t>6.1履约保证金的交纳</w:t>
      </w:r>
    </w:p>
    <w:p w14:paraId="1A1E539F">
      <w:pPr>
        <w:pBdr>
          <w:top w:val="none" w:color="000000" w:sz="0" w:space="0"/>
          <w:left w:val="none" w:color="000000" w:sz="0" w:space="0"/>
          <w:bottom w:val="none" w:color="000000" w:sz="0" w:space="0"/>
          <w:right w:val="none" w:color="000000" w:sz="0" w:space="0"/>
        </w:pBdr>
        <w:tabs>
          <w:tab w:val="left" w:pos="900"/>
        </w:tabs>
        <w:spacing w:line="440" w:lineRule="exact"/>
        <w:ind w:firstLine="480" w:firstLineChars="200"/>
        <w:rPr>
          <w:rFonts w:ascii="Times New Roman" w:hAnsi="Times New Roman"/>
          <w:sz w:val="24"/>
          <w:highlight w:val="none"/>
        </w:rPr>
      </w:pPr>
      <w:r>
        <w:rPr>
          <w:rFonts w:hint="eastAsia" w:ascii="Times New Roman" w:hAnsi="Times New Roman" w:cs="宋体"/>
          <w:sz w:val="24"/>
          <w:highlight w:val="none"/>
        </w:rPr>
        <w:t>6.1.1金额：乙方交纳合同价的</w:t>
      </w:r>
      <w:r>
        <w:rPr>
          <w:rFonts w:hint="eastAsia" w:ascii="Times New Roman" w:hAnsi="Times New Roman" w:cs="宋体"/>
          <w:bCs/>
          <w:sz w:val="24"/>
          <w:highlight w:val="none"/>
        </w:rPr>
        <w:t>10%（按四舍五入取整至百元）</w:t>
      </w:r>
      <w:r>
        <w:rPr>
          <w:rFonts w:hint="eastAsia" w:ascii="Times New Roman" w:hAnsi="Times New Roman" w:cs="宋体"/>
          <w:sz w:val="24"/>
          <w:highlight w:val="none"/>
        </w:rPr>
        <w:t>作为本项目的履约保证金（</w:t>
      </w:r>
      <w:r>
        <w:rPr>
          <w:rFonts w:ascii="Times New Roman" w:hAnsi="Times New Roman" w:cs="宋体"/>
          <w:color w:val="000000"/>
          <w:sz w:val="24"/>
          <w:highlight w:val="none"/>
        </w:rPr>
        <w:t>不超过合同金额的10%）。</w:t>
      </w:r>
    </w:p>
    <w:p w14:paraId="1FD9AA80">
      <w:pPr>
        <w:spacing w:line="440" w:lineRule="exact"/>
        <w:ind w:firstLine="480" w:firstLineChars="200"/>
        <w:rPr>
          <w:rFonts w:ascii="Times New Roman" w:hAnsi="Times New Roman"/>
          <w:b/>
          <w:bCs/>
          <w:sz w:val="24"/>
          <w:highlight w:val="none"/>
        </w:rPr>
      </w:pPr>
      <w:r>
        <w:rPr>
          <w:rFonts w:hint="eastAsia" w:ascii="Times New Roman" w:hAnsi="Times New Roman" w:cs="宋体"/>
          <w:sz w:val="24"/>
          <w:highlight w:val="none"/>
        </w:rPr>
        <w:t>6.1.2履约保证金的形式：</w:t>
      </w:r>
      <w:r>
        <w:rPr>
          <w:rFonts w:hint="eastAsia" w:ascii="Times New Roman" w:hAnsi="Times New Roman"/>
          <w:sz w:val="24"/>
          <w:highlight w:val="none"/>
        </w:rPr>
        <w:t>转账、支票、汇票、本票或者金融机构、担保机构出具的保函、保险公司保险单等形式提交</w:t>
      </w:r>
    </w:p>
    <w:p w14:paraId="0083ECC3">
      <w:pPr>
        <w:spacing w:line="440" w:lineRule="exact"/>
        <w:ind w:firstLine="480" w:firstLineChars="200"/>
        <w:rPr>
          <w:rFonts w:ascii="Times New Roman" w:hAnsi="Times New Roman" w:cs="宋体"/>
          <w:sz w:val="24"/>
          <w:highlight w:val="none"/>
        </w:rPr>
      </w:pPr>
      <w:r>
        <w:rPr>
          <w:rFonts w:hint="eastAsia" w:ascii="Times New Roman" w:hAnsi="Times New Roman" w:cs="宋体"/>
          <w:sz w:val="24"/>
          <w:highlight w:val="none"/>
        </w:rPr>
        <w:t>6.1.3本项目对第三方信用服务机构依据标准规范评定为AA级及以上（需提供在“信用盐城”网站备案的第三方信用报告）的政府采购供应商，降低履行保证金缴纳比例</w:t>
      </w:r>
      <w:r>
        <w:rPr>
          <w:rFonts w:hint="eastAsia" w:ascii="Times New Roman" w:hAnsi="Times New Roman" w:cs="宋体"/>
          <w:sz w:val="24"/>
          <w:highlight w:val="none"/>
          <w:lang w:val="en-US" w:eastAsia="zh-CN"/>
        </w:rPr>
        <w:t>至</w:t>
      </w:r>
      <w:r>
        <w:rPr>
          <w:rFonts w:hint="eastAsia" w:ascii="Times New Roman" w:hAnsi="Times New Roman" w:cs="宋体"/>
          <w:sz w:val="24"/>
          <w:highlight w:val="none"/>
        </w:rPr>
        <w:t>合同价的</w:t>
      </w:r>
      <w:r>
        <w:rPr>
          <w:rFonts w:hint="eastAsia" w:ascii="Times New Roman" w:hAnsi="Times New Roman" w:cs="宋体"/>
          <w:bCs/>
          <w:sz w:val="24"/>
          <w:highlight w:val="none"/>
          <w:lang w:val="en-US" w:eastAsia="zh-CN"/>
        </w:rPr>
        <w:t>5</w:t>
      </w:r>
      <w:r>
        <w:rPr>
          <w:rFonts w:hint="eastAsia" w:ascii="Times New Roman" w:hAnsi="Times New Roman" w:cs="宋体"/>
          <w:bCs/>
          <w:sz w:val="24"/>
          <w:highlight w:val="none"/>
        </w:rPr>
        <w:t>%（按四舍五入取整至百元）</w:t>
      </w:r>
      <w:r>
        <w:rPr>
          <w:rFonts w:hint="eastAsia" w:ascii="Times New Roman" w:hAnsi="Times New Roman" w:cs="宋体"/>
          <w:sz w:val="24"/>
          <w:highlight w:val="none"/>
        </w:rPr>
        <w:t>。</w:t>
      </w:r>
    </w:p>
    <w:p w14:paraId="2472DEB5">
      <w:pPr>
        <w:spacing w:line="440" w:lineRule="exact"/>
        <w:ind w:firstLine="480" w:firstLineChars="200"/>
        <w:rPr>
          <w:rFonts w:ascii="Times New Roman" w:hAnsi="Times New Roman" w:cs="宋体"/>
          <w:sz w:val="24"/>
          <w:highlight w:val="none"/>
        </w:rPr>
      </w:pPr>
      <w:r>
        <w:rPr>
          <w:rFonts w:hint="eastAsia" w:ascii="Times New Roman" w:hAnsi="Times New Roman" w:cs="宋体"/>
          <w:sz w:val="24"/>
          <w:highlight w:val="none"/>
        </w:rPr>
        <w:t>6.2履约保证金的退还</w:t>
      </w:r>
    </w:p>
    <w:p w14:paraId="6546D08A">
      <w:pPr>
        <w:spacing w:line="440" w:lineRule="exact"/>
        <w:ind w:firstLine="480" w:firstLineChars="200"/>
        <w:rPr>
          <w:rFonts w:ascii="Times New Roman" w:hAnsi="Times New Roman" w:cs="宋体"/>
          <w:sz w:val="24"/>
          <w:highlight w:val="none"/>
        </w:rPr>
      </w:pPr>
      <w:r>
        <w:rPr>
          <w:rFonts w:hint="eastAsia" w:ascii="Times New Roman" w:hAnsi="Times New Roman" w:cs="宋体"/>
          <w:sz w:val="24"/>
          <w:highlight w:val="none"/>
        </w:rPr>
        <w:t>6.2.1方式：无息退还至乙方缴纳履约保证金的账户。如为保函，乙方需提供保函至项目验收合格结束，验收合格结束后保函自动失效。</w:t>
      </w:r>
    </w:p>
    <w:p w14:paraId="1F36C682">
      <w:pPr>
        <w:spacing w:line="440" w:lineRule="exact"/>
        <w:ind w:firstLine="480" w:firstLineChars="200"/>
        <w:rPr>
          <w:rFonts w:ascii="Times New Roman" w:hAnsi="Times New Roman" w:cs="宋体"/>
          <w:sz w:val="24"/>
          <w:highlight w:val="none"/>
        </w:rPr>
      </w:pPr>
      <w:r>
        <w:rPr>
          <w:rFonts w:hint="eastAsia" w:ascii="Times New Roman" w:hAnsi="Times New Roman" w:cs="宋体"/>
          <w:sz w:val="24"/>
          <w:highlight w:val="none"/>
        </w:rPr>
        <w:t>6.2.2时间：由乙方提出申请，30个工作日内退还履约保证金。</w:t>
      </w:r>
    </w:p>
    <w:p w14:paraId="3BD72956">
      <w:pPr>
        <w:spacing w:line="440" w:lineRule="exact"/>
        <w:ind w:firstLine="480" w:firstLineChars="200"/>
        <w:rPr>
          <w:rFonts w:ascii="Times New Roman" w:hAnsi="Times New Roman" w:cs="宋体"/>
          <w:sz w:val="24"/>
          <w:highlight w:val="none"/>
        </w:rPr>
      </w:pPr>
      <w:r>
        <w:rPr>
          <w:rFonts w:hint="eastAsia" w:ascii="Times New Roman" w:hAnsi="Times New Roman" w:cs="宋体"/>
          <w:sz w:val="24"/>
          <w:highlight w:val="none"/>
        </w:rPr>
        <w:t>6.2.3条件：验收合格。</w:t>
      </w:r>
    </w:p>
    <w:p w14:paraId="06AC3276">
      <w:pPr>
        <w:spacing w:line="440" w:lineRule="exact"/>
        <w:ind w:firstLine="480" w:firstLineChars="200"/>
        <w:rPr>
          <w:rFonts w:ascii="Times New Roman" w:hAnsi="Times New Roman" w:cs="宋体"/>
          <w:sz w:val="24"/>
          <w:highlight w:val="none"/>
        </w:rPr>
      </w:pPr>
      <w:r>
        <w:rPr>
          <w:rFonts w:hint="eastAsia" w:ascii="Times New Roman" w:hAnsi="Times New Roman" w:cs="宋体"/>
          <w:sz w:val="24"/>
          <w:highlight w:val="none"/>
        </w:rPr>
        <w:t>6.3不予退还情形：</w:t>
      </w:r>
    </w:p>
    <w:p w14:paraId="132A7859">
      <w:pPr>
        <w:spacing w:line="440" w:lineRule="exact"/>
        <w:ind w:firstLine="480" w:firstLineChars="200"/>
        <w:rPr>
          <w:rFonts w:ascii="Times New Roman" w:hAnsi="Times New Roman" w:cs="宋体"/>
          <w:sz w:val="24"/>
          <w:highlight w:val="none"/>
        </w:rPr>
      </w:pPr>
      <w:r>
        <w:rPr>
          <w:rFonts w:hint="eastAsia" w:ascii="Times New Roman" w:hAnsi="Times New Roman" w:cs="宋体"/>
          <w:sz w:val="24"/>
          <w:highlight w:val="none"/>
        </w:rPr>
        <w:t>除不可抗力情况外，乙方出现下列情形之一的，将视情节决定履约保证金是否不予退还。</w:t>
      </w:r>
    </w:p>
    <w:p w14:paraId="70D5C9BF">
      <w:pPr>
        <w:spacing w:line="440" w:lineRule="exact"/>
        <w:ind w:firstLine="480" w:firstLineChars="200"/>
        <w:rPr>
          <w:rFonts w:ascii="Times New Roman" w:hAnsi="Times New Roman" w:cs="宋体"/>
          <w:sz w:val="24"/>
          <w:highlight w:val="none"/>
        </w:rPr>
      </w:pPr>
      <w:r>
        <w:rPr>
          <w:rFonts w:hint="eastAsia" w:ascii="Times New Roman" w:hAnsi="Times New Roman" w:cs="宋体"/>
          <w:sz w:val="24"/>
          <w:highlight w:val="none"/>
        </w:rPr>
        <w:t>（1）乙方无正当理由拒绝签订合同的，或者在签订合同时向甲方提出附加条件或者更改合同实质性内容要求的；</w:t>
      </w:r>
    </w:p>
    <w:p w14:paraId="02C31416">
      <w:pPr>
        <w:spacing w:line="440" w:lineRule="exact"/>
        <w:ind w:firstLine="480" w:firstLineChars="200"/>
        <w:rPr>
          <w:rFonts w:ascii="Times New Roman" w:hAnsi="Times New Roman" w:cs="宋体"/>
          <w:sz w:val="24"/>
          <w:highlight w:val="none"/>
        </w:rPr>
      </w:pPr>
      <w:r>
        <w:rPr>
          <w:rFonts w:hint="eastAsia" w:ascii="Times New Roman" w:hAnsi="Times New Roman" w:cs="宋体"/>
          <w:sz w:val="24"/>
          <w:highlight w:val="none"/>
        </w:rPr>
        <w:t>（2）乙方不履行与甲方订立的合同的；</w:t>
      </w:r>
    </w:p>
    <w:p w14:paraId="76A3611A">
      <w:pPr>
        <w:spacing w:line="440" w:lineRule="exact"/>
        <w:ind w:firstLine="480" w:firstLineChars="200"/>
        <w:rPr>
          <w:rFonts w:ascii="Times New Roman" w:hAnsi="Times New Roman" w:cs="宋体"/>
          <w:sz w:val="24"/>
          <w:highlight w:val="none"/>
        </w:rPr>
      </w:pPr>
      <w:r>
        <w:rPr>
          <w:rFonts w:hint="eastAsia" w:ascii="Times New Roman" w:hAnsi="Times New Roman" w:cs="宋体"/>
          <w:sz w:val="24"/>
          <w:highlight w:val="none"/>
        </w:rPr>
        <w:t>（3）乙方所供货物或服务不符合招标文件规定要求的；</w:t>
      </w:r>
    </w:p>
    <w:p w14:paraId="0A1C49D4">
      <w:pPr>
        <w:spacing w:line="440" w:lineRule="exact"/>
        <w:ind w:firstLine="480" w:firstLineChars="200"/>
        <w:rPr>
          <w:rFonts w:ascii="Times New Roman" w:hAnsi="Times New Roman" w:cs="宋体"/>
          <w:sz w:val="24"/>
          <w:highlight w:val="none"/>
        </w:rPr>
      </w:pPr>
      <w:r>
        <w:rPr>
          <w:rFonts w:hint="eastAsia" w:ascii="Times New Roman" w:hAnsi="Times New Roman" w:cs="宋体"/>
          <w:sz w:val="24"/>
          <w:highlight w:val="none"/>
        </w:rPr>
        <w:t>（4）乙方采取欺骗、弄虚作假方式投标的或与其它投标人串通投标的；</w:t>
      </w:r>
    </w:p>
    <w:p w14:paraId="55944C00">
      <w:pPr>
        <w:spacing w:line="440" w:lineRule="exact"/>
        <w:ind w:firstLine="480" w:firstLineChars="200"/>
        <w:rPr>
          <w:rFonts w:ascii="Times New Roman" w:hAnsi="Times New Roman" w:cs="宋体"/>
          <w:sz w:val="24"/>
          <w:highlight w:val="none"/>
        </w:rPr>
      </w:pPr>
      <w:r>
        <w:rPr>
          <w:rFonts w:hint="eastAsia" w:ascii="Times New Roman" w:hAnsi="Times New Roman" w:cs="宋体"/>
          <w:sz w:val="24"/>
          <w:highlight w:val="none"/>
        </w:rPr>
        <w:t>（5）乙方故意捏造事实或伪造证明材料，进行虚假恶意投诉或反映的。</w:t>
      </w:r>
    </w:p>
    <w:p w14:paraId="5640ED1D">
      <w:pPr>
        <w:spacing w:line="440" w:lineRule="exact"/>
        <w:ind w:firstLine="480" w:firstLineChars="200"/>
        <w:rPr>
          <w:rFonts w:ascii="Times New Roman" w:hAnsi="Times New Roman" w:cs="宋体"/>
          <w:b/>
          <w:sz w:val="24"/>
          <w:highlight w:val="none"/>
        </w:rPr>
      </w:pPr>
      <w:r>
        <w:rPr>
          <w:rFonts w:hint="eastAsia" w:ascii="Times New Roman" w:hAnsi="Times New Roman" w:cs="宋体"/>
          <w:sz w:val="24"/>
          <w:highlight w:val="none"/>
        </w:rPr>
        <w:t>6.4逾期退还的违约责任：甲方逾期无故未退还履约保证金的，按中国人民银行同期存款基准利率支付超期资金占用费，但因乙方自身原因导致无法及时退还的除外。</w:t>
      </w:r>
    </w:p>
    <w:p w14:paraId="19DF255B">
      <w:pPr>
        <w:snapToGrid w:val="0"/>
        <w:spacing w:line="440" w:lineRule="exact"/>
        <w:ind w:firstLine="482" w:firstLineChars="200"/>
        <w:rPr>
          <w:rFonts w:ascii="Times New Roman" w:hAnsi="Times New Roman"/>
          <w:b/>
          <w:bCs/>
          <w:sz w:val="24"/>
          <w:highlight w:val="none"/>
        </w:rPr>
      </w:pPr>
      <w:r>
        <w:rPr>
          <w:rFonts w:hint="eastAsia" w:ascii="Times New Roman" w:hAnsi="Times New Roman"/>
          <w:b/>
          <w:bCs/>
          <w:sz w:val="24"/>
          <w:highlight w:val="none"/>
        </w:rPr>
        <w:t>七、转包或分包</w:t>
      </w:r>
    </w:p>
    <w:p w14:paraId="55894D20">
      <w:pPr>
        <w:snapToGrid w:val="0"/>
        <w:spacing w:line="440" w:lineRule="exact"/>
        <w:ind w:firstLine="480" w:firstLineChars="200"/>
        <w:rPr>
          <w:rFonts w:ascii="Times New Roman" w:hAnsi="Times New Roman"/>
          <w:sz w:val="24"/>
          <w:highlight w:val="none"/>
        </w:rPr>
      </w:pPr>
      <w:r>
        <w:rPr>
          <w:rFonts w:hint="eastAsia" w:ascii="Times New Roman" w:hAnsi="Times New Roman"/>
          <w:sz w:val="24"/>
          <w:highlight w:val="none"/>
        </w:rPr>
        <w:t>7.1本合同范围的货物，应由乙方直接供应，不得转让他人供应；</w:t>
      </w:r>
    </w:p>
    <w:p w14:paraId="17C4D3D9">
      <w:pPr>
        <w:snapToGrid w:val="0"/>
        <w:spacing w:line="440" w:lineRule="exact"/>
        <w:ind w:firstLine="480" w:firstLineChars="200"/>
        <w:rPr>
          <w:rFonts w:ascii="Times New Roman" w:hAnsi="Times New Roman"/>
          <w:sz w:val="24"/>
          <w:highlight w:val="none"/>
        </w:rPr>
      </w:pPr>
      <w:r>
        <w:rPr>
          <w:rFonts w:hint="eastAsia" w:ascii="Times New Roman" w:hAnsi="Times New Roman"/>
          <w:sz w:val="24"/>
          <w:highlight w:val="none"/>
        </w:rPr>
        <w:t>7.2 除非得到甲方的书面同意，乙方不得部分分包给他人供应。</w:t>
      </w:r>
    </w:p>
    <w:p w14:paraId="0EDF8159">
      <w:pPr>
        <w:snapToGrid w:val="0"/>
        <w:spacing w:line="440" w:lineRule="exact"/>
        <w:ind w:firstLine="480" w:firstLineChars="200"/>
        <w:rPr>
          <w:rFonts w:ascii="Times New Roman" w:hAnsi="Times New Roman"/>
          <w:sz w:val="24"/>
          <w:highlight w:val="none"/>
        </w:rPr>
      </w:pPr>
      <w:r>
        <w:rPr>
          <w:rFonts w:hint="eastAsia" w:ascii="Times New Roman" w:hAnsi="Times New Roman"/>
          <w:sz w:val="24"/>
          <w:highlight w:val="none"/>
        </w:rPr>
        <w:t>7.3如有转让和未经甲方同意的分包行为，甲方有权给予终止合同。</w:t>
      </w:r>
    </w:p>
    <w:p w14:paraId="2B4C45B3">
      <w:pPr>
        <w:snapToGrid w:val="0"/>
        <w:spacing w:line="440" w:lineRule="exact"/>
        <w:ind w:firstLine="482" w:firstLineChars="200"/>
        <w:rPr>
          <w:rFonts w:ascii="Times New Roman" w:hAnsi="Times New Roman"/>
          <w:b/>
          <w:bCs/>
          <w:sz w:val="24"/>
          <w:highlight w:val="none"/>
        </w:rPr>
      </w:pPr>
      <w:r>
        <w:rPr>
          <w:rFonts w:hint="eastAsia" w:ascii="Times New Roman" w:hAnsi="Times New Roman"/>
          <w:b/>
          <w:bCs/>
          <w:sz w:val="24"/>
          <w:highlight w:val="none"/>
        </w:rPr>
        <w:t>八、质保</w:t>
      </w:r>
    </w:p>
    <w:p w14:paraId="6A5B1B28">
      <w:pPr>
        <w:snapToGrid w:val="0"/>
        <w:spacing w:line="440" w:lineRule="exact"/>
        <w:ind w:firstLine="480" w:firstLineChars="200"/>
        <w:rPr>
          <w:rFonts w:ascii="Times New Roman" w:hAnsi="Times New Roman"/>
          <w:sz w:val="24"/>
          <w:highlight w:val="none"/>
        </w:rPr>
      </w:pPr>
      <w:r>
        <w:rPr>
          <w:rFonts w:hint="eastAsia" w:ascii="Times New Roman" w:hAnsi="Times New Roman"/>
          <w:sz w:val="24"/>
          <w:highlight w:val="none"/>
        </w:rPr>
        <w:t>8.1 质保期</w:t>
      </w:r>
      <w:r>
        <w:rPr>
          <w:rFonts w:hint="eastAsia" w:ascii="Times New Roman" w:hAnsi="Times New Roman"/>
          <w:sz w:val="24"/>
          <w:highlight w:val="none"/>
          <w:lang w:val="en-US" w:eastAsia="zh-CN"/>
        </w:rPr>
        <w:t>3</w:t>
      </w:r>
      <w:r>
        <w:rPr>
          <w:rFonts w:hint="eastAsia" w:ascii="Times New Roman" w:hAnsi="Times New Roman"/>
          <w:sz w:val="24"/>
          <w:highlight w:val="none"/>
        </w:rPr>
        <w:t xml:space="preserve"> 年（自交货验收合格之日起计）。</w:t>
      </w:r>
    </w:p>
    <w:p w14:paraId="416DBEE2">
      <w:pPr>
        <w:snapToGrid w:val="0"/>
        <w:spacing w:line="440" w:lineRule="exact"/>
        <w:ind w:firstLine="482" w:firstLineChars="200"/>
        <w:rPr>
          <w:rFonts w:ascii="Times New Roman" w:hAnsi="Times New Roman"/>
          <w:b/>
          <w:bCs/>
          <w:sz w:val="24"/>
          <w:highlight w:val="none"/>
        </w:rPr>
      </w:pPr>
      <w:r>
        <w:rPr>
          <w:rFonts w:hint="eastAsia" w:ascii="Times New Roman" w:hAnsi="Times New Roman"/>
          <w:b/>
          <w:bCs/>
          <w:sz w:val="24"/>
          <w:highlight w:val="none"/>
        </w:rPr>
        <w:t>九、交货期、交货方式及交货地点</w:t>
      </w:r>
    </w:p>
    <w:p w14:paraId="796ECE72">
      <w:pPr>
        <w:spacing w:line="440" w:lineRule="exact"/>
        <w:ind w:firstLine="480" w:firstLineChars="200"/>
        <w:rPr>
          <w:rFonts w:ascii="Times New Roman" w:hAnsi="Times New Roman"/>
          <w:sz w:val="24"/>
          <w:highlight w:val="none"/>
        </w:rPr>
      </w:pPr>
      <w:r>
        <w:rPr>
          <w:rFonts w:hint="eastAsia" w:ascii="Times New Roman" w:hAnsi="Times New Roman"/>
          <w:sz w:val="24"/>
          <w:highlight w:val="none"/>
        </w:rPr>
        <w:t>9.1 交货期：</w:t>
      </w:r>
      <w:r>
        <w:rPr>
          <w:rFonts w:hint="eastAsia" w:ascii="Times New Roman" w:hAnsi="Times New Roman"/>
          <w:sz w:val="24"/>
          <w:highlight w:val="none"/>
          <w:u w:val="single"/>
        </w:rPr>
        <w:t>合同签订之日起</w:t>
      </w:r>
      <w:r>
        <w:rPr>
          <w:rFonts w:hint="eastAsia" w:ascii="Times New Roman" w:hAnsi="Times New Roman"/>
          <w:sz w:val="24"/>
          <w:highlight w:val="none"/>
          <w:u w:val="single"/>
          <w:lang w:val="en-US" w:eastAsia="zh-CN"/>
        </w:rPr>
        <w:t>20</w:t>
      </w:r>
      <w:r>
        <w:rPr>
          <w:rFonts w:hint="eastAsia" w:ascii="Times New Roman" w:hAnsi="Times New Roman"/>
          <w:sz w:val="24"/>
          <w:highlight w:val="none"/>
          <w:u w:val="single"/>
        </w:rPr>
        <w:t>日历天内完成供货及</w:t>
      </w:r>
      <w:r>
        <w:rPr>
          <w:rFonts w:hint="eastAsia" w:ascii="Times New Roman" w:hAnsi="Times New Roman"/>
          <w:sz w:val="24"/>
          <w:highlight w:val="none"/>
          <w:u w:val="single"/>
          <w:lang w:val="en-US" w:eastAsia="zh-CN"/>
        </w:rPr>
        <w:t>安装</w:t>
      </w:r>
      <w:r>
        <w:rPr>
          <w:rFonts w:hint="eastAsia" w:ascii="Times New Roman" w:hAnsi="Times New Roman"/>
          <w:sz w:val="24"/>
          <w:highlight w:val="none"/>
          <w:u w:val="single"/>
        </w:rPr>
        <w:t>，并通过采购人验收。</w:t>
      </w:r>
    </w:p>
    <w:p w14:paraId="054D56CA">
      <w:pPr>
        <w:snapToGrid w:val="0"/>
        <w:spacing w:line="440" w:lineRule="exact"/>
        <w:ind w:firstLine="480" w:firstLineChars="200"/>
        <w:rPr>
          <w:rFonts w:ascii="Times New Roman" w:hAnsi="Times New Roman"/>
          <w:sz w:val="24"/>
          <w:highlight w:val="none"/>
        </w:rPr>
      </w:pPr>
      <w:r>
        <w:rPr>
          <w:rFonts w:hint="eastAsia" w:ascii="Times New Roman" w:hAnsi="Times New Roman"/>
          <w:sz w:val="24"/>
          <w:highlight w:val="none"/>
        </w:rPr>
        <w:t>9.2 交货方式：</w:t>
      </w:r>
      <w:r>
        <w:rPr>
          <w:rFonts w:hint="eastAsia" w:ascii="Times New Roman" w:hAnsi="Times New Roman"/>
          <w:sz w:val="24"/>
          <w:highlight w:val="none"/>
          <w:u w:val="single"/>
        </w:rPr>
        <w:t>供货至甲方指定地点并完成安装</w:t>
      </w:r>
      <w:r>
        <w:rPr>
          <w:rFonts w:hint="eastAsia" w:ascii="Times New Roman" w:hAnsi="Times New Roman"/>
          <w:sz w:val="24"/>
          <w:highlight w:val="none"/>
          <w:u w:val="single"/>
          <w:lang w:eastAsia="zh-CN"/>
        </w:rPr>
        <w:t>，</w:t>
      </w:r>
      <w:r>
        <w:rPr>
          <w:rFonts w:hint="eastAsia" w:ascii="Times New Roman" w:hAnsi="Times New Roman"/>
          <w:sz w:val="24"/>
          <w:highlight w:val="none"/>
          <w:u w:val="single"/>
        </w:rPr>
        <w:t>通过验收后交货；</w:t>
      </w:r>
    </w:p>
    <w:p w14:paraId="7D6827E9">
      <w:pPr>
        <w:snapToGrid w:val="0"/>
        <w:spacing w:line="440" w:lineRule="exact"/>
        <w:ind w:firstLine="480" w:firstLineChars="200"/>
        <w:rPr>
          <w:rFonts w:ascii="Times New Roman" w:hAnsi="Times New Roman"/>
          <w:sz w:val="24"/>
          <w:highlight w:val="none"/>
        </w:rPr>
      </w:pPr>
      <w:r>
        <w:rPr>
          <w:rFonts w:hint="eastAsia" w:ascii="Times New Roman" w:hAnsi="Times New Roman"/>
          <w:sz w:val="24"/>
          <w:highlight w:val="none"/>
        </w:rPr>
        <w:t>9.3 交货地点：</w:t>
      </w:r>
      <w:r>
        <w:rPr>
          <w:rFonts w:hint="eastAsia" w:ascii="Times New Roman" w:hAnsi="Times New Roman"/>
          <w:sz w:val="24"/>
          <w:highlight w:val="none"/>
          <w:u w:val="single"/>
        </w:rPr>
        <w:t>甲方指定安装地点。</w:t>
      </w:r>
    </w:p>
    <w:p w14:paraId="24BC7B83">
      <w:pPr>
        <w:snapToGrid w:val="0"/>
        <w:spacing w:line="440" w:lineRule="exact"/>
        <w:ind w:firstLine="482" w:firstLineChars="200"/>
        <w:rPr>
          <w:rFonts w:ascii="Times New Roman" w:hAnsi="Times New Roman"/>
          <w:sz w:val="24"/>
          <w:highlight w:val="none"/>
        </w:rPr>
      </w:pPr>
      <w:r>
        <w:rPr>
          <w:rFonts w:hint="eastAsia" w:ascii="Times New Roman" w:hAnsi="Times New Roman"/>
          <w:b/>
          <w:bCs/>
          <w:sz w:val="24"/>
          <w:highlight w:val="none"/>
        </w:rPr>
        <w:t>十、货款支付</w:t>
      </w:r>
    </w:p>
    <w:p w14:paraId="7BF6DD8B">
      <w:pPr>
        <w:pBdr>
          <w:top w:val="none" w:color="000000" w:sz="0" w:space="0"/>
          <w:left w:val="none" w:color="000000" w:sz="0" w:space="0"/>
          <w:bottom w:val="none" w:color="000000" w:sz="0" w:space="0"/>
          <w:right w:val="none" w:color="000000" w:sz="0" w:space="0"/>
        </w:pBdr>
        <w:spacing w:line="440" w:lineRule="exact"/>
        <w:ind w:firstLine="480" w:firstLineChars="200"/>
        <w:rPr>
          <w:rFonts w:ascii="Times New Roman" w:hAnsi="Times New Roman" w:cs="宋体"/>
          <w:color w:val="000000"/>
          <w:sz w:val="24"/>
          <w:highlight w:val="none"/>
        </w:rPr>
      </w:pPr>
      <w:r>
        <w:rPr>
          <w:rFonts w:ascii="Times New Roman" w:hAnsi="Times New Roman" w:cs="Times New Roman"/>
          <w:color w:val="000000"/>
          <w:sz w:val="24"/>
          <w:highlight w:val="none"/>
        </w:rPr>
        <w:t xml:space="preserve">10.1 </w:t>
      </w:r>
      <w:r>
        <w:rPr>
          <w:rFonts w:ascii="Times New Roman" w:hAnsi="Times New Roman" w:cs="宋体"/>
          <w:color w:val="000000"/>
          <w:sz w:val="24"/>
          <w:highlight w:val="none"/>
        </w:rPr>
        <w:t>付款方式：合同签订后，支付合同价款</w:t>
      </w:r>
      <w:r>
        <w:rPr>
          <w:rFonts w:ascii="Times New Roman" w:hAnsi="Times New Roman" w:cs="Times New Roman"/>
          <w:color w:val="000000"/>
          <w:sz w:val="24"/>
          <w:highlight w:val="none"/>
        </w:rPr>
        <w:t>30%</w:t>
      </w:r>
      <w:r>
        <w:rPr>
          <w:rFonts w:ascii="Times New Roman" w:hAnsi="Times New Roman" w:cs="宋体"/>
          <w:color w:val="000000"/>
          <w:sz w:val="24"/>
          <w:highlight w:val="none"/>
        </w:rPr>
        <w:t>的预付款（在签订合同时，供应商明确表示无需预付款的，可不执行）；</w:t>
      </w:r>
      <w:r>
        <w:rPr>
          <w:rFonts w:hint="eastAsia" w:ascii="Times New Roman" w:hAnsi="Times New Roman" w:cs="宋体"/>
          <w:color w:val="000000"/>
          <w:sz w:val="24"/>
          <w:highlight w:val="none"/>
          <w:lang w:val="en-US" w:eastAsia="zh-CN"/>
        </w:rPr>
        <w:t>货物</w:t>
      </w:r>
      <w:r>
        <w:rPr>
          <w:rFonts w:ascii="Times New Roman" w:hAnsi="Times New Roman" w:cs="宋体"/>
          <w:color w:val="000000"/>
          <w:sz w:val="24"/>
          <w:highlight w:val="none"/>
        </w:rPr>
        <w:t>送到指定地点经安装且验收合格后付至合同价款的</w:t>
      </w:r>
      <w:r>
        <w:rPr>
          <w:rFonts w:hint="eastAsia" w:ascii="Times New Roman" w:hAnsi="Times New Roman" w:cs="Times New Roman"/>
          <w:color w:val="000000"/>
          <w:sz w:val="24"/>
          <w:highlight w:val="none"/>
        </w:rPr>
        <w:t>100</w:t>
      </w:r>
      <w:r>
        <w:rPr>
          <w:rFonts w:ascii="Times New Roman" w:hAnsi="Times New Roman" w:cs="Times New Roman"/>
          <w:color w:val="000000"/>
          <w:sz w:val="24"/>
          <w:highlight w:val="none"/>
        </w:rPr>
        <w:t>%</w:t>
      </w:r>
      <w:r>
        <w:rPr>
          <w:rFonts w:hint="eastAsia" w:ascii="Times New Roman" w:hAnsi="Times New Roman" w:cs="宋体"/>
          <w:color w:val="000000"/>
          <w:sz w:val="24"/>
          <w:highlight w:val="none"/>
        </w:rPr>
        <w:t>，</w:t>
      </w:r>
      <w:bookmarkStart w:id="124" w:name="_Hlk163727843"/>
      <w:r>
        <w:rPr>
          <w:rFonts w:hint="eastAsia" w:ascii="Times New Roman" w:hAnsi="Times New Roman" w:cs="宋体"/>
          <w:color w:val="000000"/>
          <w:sz w:val="24"/>
          <w:highlight w:val="none"/>
        </w:rPr>
        <w:t>履约保证金在履约完成后退还（以上分期付款均无利息）。</w:t>
      </w:r>
    </w:p>
    <w:bookmarkEnd w:id="124"/>
    <w:p w14:paraId="045D6E9F">
      <w:pPr>
        <w:pBdr>
          <w:top w:val="none" w:color="000000" w:sz="0" w:space="0"/>
          <w:left w:val="none" w:color="000000" w:sz="0" w:space="0"/>
          <w:bottom w:val="none" w:color="000000" w:sz="0" w:space="0"/>
          <w:right w:val="none" w:color="000000" w:sz="0" w:space="0"/>
        </w:pBdr>
        <w:spacing w:line="440" w:lineRule="exact"/>
        <w:ind w:firstLine="480" w:firstLineChars="200"/>
        <w:rPr>
          <w:rFonts w:ascii="Times New Roman" w:hAnsi="Times New Roman"/>
          <w:sz w:val="24"/>
          <w:highlight w:val="none"/>
        </w:rPr>
      </w:pPr>
      <w:r>
        <w:rPr>
          <w:rFonts w:ascii="Times New Roman" w:hAnsi="Times New Roman" w:cs="Times New Roman"/>
          <w:color w:val="000000"/>
          <w:sz w:val="24"/>
          <w:highlight w:val="yellow"/>
        </w:rPr>
        <w:t>10.2</w:t>
      </w:r>
      <w:r>
        <w:rPr>
          <w:rFonts w:ascii="Times New Roman" w:hAnsi="Times New Roman" w:cs="宋体"/>
          <w:color w:val="000000"/>
          <w:sz w:val="24"/>
          <w:highlight w:val="yellow"/>
        </w:rPr>
        <w:t>当采购数量与实际使用数量不一致时，乙方应根据实际使用量供货，合同的最终结算金额按实际使用量乘以成交单价进行计算。</w:t>
      </w:r>
    </w:p>
    <w:p w14:paraId="05BA0302">
      <w:pPr>
        <w:snapToGrid w:val="0"/>
        <w:spacing w:line="440" w:lineRule="exact"/>
        <w:ind w:firstLine="482" w:firstLineChars="200"/>
        <w:rPr>
          <w:rFonts w:ascii="Times New Roman" w:hAnsi="Times New Roman"/>
          <w:b/>
          <w:bCs/>
          <w:sz w:val="24"/>
          <w:highlight w:val="none"/>
        </w:rPr>
      </w:pPr>
      <w:r>
        <w:rPr>
          <w:rFonts w:hint="eastAsia" w:ascii="Times New Roman" w:hAnsi="Times New Roman"/>
          <w:b/>
          <w:bCs/>
          <w:sz w:val="24"/>
          <w:highlight w:val="none"/>
        </w:rPr>
        <w:t>十一、税费</w:t>
      </w:r>
    </w:p>
    <w:p w14:paraId="7AD15D8D">
      <w:pPr>
        <w:snapToGrid w:val="0"/>
        <w:spacing w:line="440" w:lineRule="exact"/>
        <w:ind w:firstLine="480" w:firstLineChars="200"/>
        <w:rPr>
          <w:rFonts w:ascii="Times New Roman" w:hAnsi="Times New Roman"/>
          <w:sz w:val="24"/>
          <w:highlight w:val="none"/>
        </w:rPr>
      </w:pPr>
      <w:r>
        <w:rPr>
          <w:rFonts w:hint="eastAsia" w:ascii="Times New Roman" w:hAnsi="Times New Roman"/>
          <w:sz w:val="24"/>
          <w:highlight w:val="none"/>
        </w:rPr>
        <w:t>11.1本合同执行中相关的一切税费均由乙方负担。</w:t>
      </w:r>
    </w:p>
    <w:p w14:paraId="74C54A76">
      <w:pPr>
        <w:numPr>
          <w:ilvl w:val="0"/>
          <w:numId w:val="2"/>
        </w:numPr>
        <w:snapToGrid w:val="0"/>
        <w:spacing w:line="440" w:lineRule="exact"/>
        <w:ind w:firstLine="482" w:firstLineChars="200"/>
        <w:rPr>
          <w:rFonts w:hint="eastAsia" w:ascii="Times New Roman" w:hAnsi="Times New Roman"/>
          <w:b/>
          <w:bCs/>
          <w:sz w:val="24"/>
          <w:highlight w:val="none"/>
        </w:rPr>
      </w:pPr>
      <w:r>
        <w:rPr>
          <w:rFonts w:hint="eastAsia" w:ascii="Times New Roman" w:hAnsi="Times New Roman"/>
          <w:b/>
          <w:bCs/>
          <w:sz w:val="24"/>
          <w:highlight w:val="none"/>
        </w:rPr>
        <w:t>质量保证及售后服务</w:t>
      </w:r>
    </w:p>
    <w:p w14:paraId="487C52A9">
      <w:pPr>
        <w:widowControl/>
        <w:spacing w:line="360" w:lineRule="auto"/>
        <w:ind w:firstLine="480" w:firstLineChars="200"/>
        <w:rPr>
          <w:rFonts w:hint="eastAsia" w:ascii="宋体" w:hAnsi="宋体" w:cs="宋体"/>
          <w:kern w:val="0"/>
          <w:sz w:val="24"/>
          <w:szCs w:val="24"/>
          <w:lang w:val="en-US" w:eastAsia="zh-CN"/>
        </w:rPr>
      </w:pPr>
      <w:r>
        <w:rPr>
          <w:rFonts w:hint="eastAsia" w:ascii="宋体" w:hAnsi="宋体" w:cs="宋体"/>
          <w:kern w:val="0"/>
          <w:sz w:val="24"/>
          <w:szCs w:val="24"/>
          <w:lang w:val="en-US" w:eastAsia="zh-CN"/>
        </w:rPr>
        <w:t>12.1质量：合格。</w:t>
      </w:r>
    </w:p>
    <w:p w14:paraId="69CBC75F">
      <w:pPr>
        <w:keepNext w:val="0"/>
        <w:keepLines w:val="0"/>
        <w:pageBreakBefore w:val="0"/>
        <w:widowControl/>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highlight w:val="none"/>
        </w:rPr>
      </w:pPr>
      <w:r>
        <w:rPr>
          <w:rFonts w:hint="eastAsia" w:ascii="Times New Roman" w:hAnsi="Times New Roman"/>
          <w:sz w:val="24"/>
          <w:highlight w:val="none"/>
          <w:lang w:val="en-US" w:eastAsia="zh-CN"/>
        </w:rPr>
        <w:t>12.2</w:t>
      </w:r>
      <w:r>
        <w:rPr>
          <w:rFonts w:hint="eastAsia" w:ascii="Times New Roman" w:hAnsi="Times New Roman"/>
          <w:sz w:val="24"/>
          <w:highlight w:val="none"/>
        </w:rPr>
        <w:t>售后服务</w:t>
      </w:r>
      <w:r>
        <w:rPr>
          <w:rFonts w:hint="eastAsia" w:ascii="Times New Roman" w:hAnsi="Times New Roman"/>
          <w:sz w:val="24"/>
          <w:highlight w:val="none"/>
          <w:lang w:eastAsia="zh-CN"/>
        </w:rPr>
        <w:t>：</w:t>
      </w:r>
      <w:r>
        <w:rPr>
          <w:rFonts w:hint="eastAsia" w:ascii="宋体" w:hAnsi="宋体" w:cs="宋体"/>
          <w:kern w:val="0"/>
          <w:sz w:val="24"/>
          <w:szCs w:val="24"/>
        </w:rPr>
        <w:t>质保期内正常使用中出现损坏，在</w:t>
      </w:r>
      <w:r>
        <w:rPr>
          <w:rFonts w:hint="eastAsia" w:ascii="宋体" w:hAnsi="宋体" w:eastAsia="宋体" w:cs="宋体"/>
          <w:color w:val="auto"/>
          <w:sz w:val="24"/>
          <w:highlight w:val="none"/>
          <w:lang w:val="zh-CN"/>
        </w:rPr>
        <w:t>质保期内出现产品质量及安装问题，由</w:t>
      </w:r>
      <w:r>
        <w:rPr>
          <w:rFonts w:hint="eastAsia" w:ascii="宋体" w:hAnsi="宋体" w:eastAsia="宋体" w:cs="宋体"/>
          <w:color w:val="auto"/>
          <w:sz w:val="24"/>
          <w:highlight w:val="none"/>
          <w:lang w:val="en-US" w:eastAsia="zh-CN"/>
        </w:rPr>
        <w:t>乙方</w:t>
      </w:r>
      <w:r>
        <w:rPr>
          <w:rFonts w:hint="eastAsia" w:ascii="宋体" w:hAnsi="宋体" w:eastAsia="宋体" w:cs="宋体"/>
          <w:color w:val="auto"/>
          <w:sz w:val="24"/>
          <w:highlight w:val="none"/>
          <w:lang w:val="zh-CN"/>
        </w:rPr>
        <w:t>负责包修、包换或包退，并承担因此而产生的一切费用。</w:t>
      </w:r>
      <w:r>
        <w:rPr>
          <w:rFonts w:hint="eastAsia" w:ascii="宋体" w:hAnsi="宋体" w:eastAsia="宋体" w:cs="宋体"/>
          <w:color w:val="auto"/>
          <w:sz w:val="24"/>
          <w:highlight w:val="none"/>
          <w:lang w:val="en-US" w:eastAsia="zh-CN"/>
        </w:rPr>
        <w:t>乙方</w:t>
      </w:r>
      <w:r>
        <w:rPr>
          <w:rFonts w:hint="eastAsia" w:ascii="宋体" w:hAnsi="宋体" w:eastAsia="宋体" w:cs="宋体"/>
          <w:color w:val="auto"/>
          <w:sz w:val="24"/>
          <w:highlight w:val="none"/>
          <w:lang w:val="zh-CN"/>
        </w:rPr>
        <w:t>应在收到招标人通知后2小时响应，24小时到达现场，48小时保证修复正常。</w:t>
      </w:r>
    </w:p>
    <w:p w14:paraId="3B477425">
      <w:pPr>
        <w:snapToGrid w:val="0"/>
        <w:spacing w:line="440" w:lineRule="exact"/>
        <w:ind w:firstLine="482" w:firstLineChars="200"/>
        <w:rPr>
          <w:rFonts w:ascii="Times New Roman" w:hAnsi="Times New Roman"/>
          <w:b/>
          <w:bCs/>
          <w:sz w:val="24"/>
          <w:highlight w:val="none"/>
        </w:rPr>
      </w:pPr>
      <w:r>
        <w:rPr>
          <w:rFonts w:hint="eastAsia" w:ascii="Times New Roman" w:hAnsi="Times New Roman"/>
          <w:b/>
          <w:bCs/>
          <w:sz w:val="24"/>
          <w:highlight w:val="none"/>
        </w:rPr>
        <w:t>十三、验收</w:t>
      </w:r>
    </w:p>
    <w:p w14:paraId="4D42B897">
      <w:pPr>
        <w:widowControl/>
        <w:spacing w:line="360" w:lineRule="auto"/>
        <w:ind w:firstLine="480" w:firstLineChars="200"/>
        <w:rPr>
          <w:rFonts w:hint="eastAsia" w:ascii="宋体" w:hAnsi="宋体" w:cs="宋体"/>
          <w:kern w:val="0"/>
          <w:sz w:val="24"/>
          <w:szCs w:val="24"/>
        </w:rPr>
      </w:pPr>
      <w:r>
        <w:rPr>
          <w:rFonts w:hint="eastAsia" w:ascii="宋体" w:hAnsi="宋体" w:cs="宋体"/>
          <w:kern w:val="0"/>
          <w:sz w:val="24"/>
          <w:szCs w:val="24"/>
          <w:lang w:val="en-US" w:eastAsia="zh-CN"/>
        </w:rPr>
        <w:t>13.1</w:t>
      </w:r>
      <w:r>
        <w:rPr>
          <w:rFonts w:hint="eastAsia" w:ascii="宋体" w:hAnsi="宋体" w:cs="宋体"/>
          <w:kern w:val="0"/>
          <w:sz w:val="24"/>
          <w:szCs w:val="24"/>
        </w:rPr>
        <w:t>验收时发现</w:t>
      </w:r>
      <w:r>
        <w:rPr>
          <w:rFonts w:hint="eastAsia" w:ascii="宋体" w:hAnsi="宋体" w:cs="宋体"/>
          <w:kern w:val="0"/>
          <w:sz w:val="24"/>
          <w:szCs w:val="24"/>
          <w:lang w:val="en-US" w:eastAsia="zh-CN"/>
        </w:rPr>
        <w:t>货物</w:t>
      </w:r>
      <w:r>
        <w:rPr>
          <w:rFonts w:hint="eastAsia" w:ascii="宋体" w:hAnsi="宋体" w:cs="宋体"/>
          <w:kern w:val="0"/>
          <w:sz w:val="24"/>
          <w:szCs w:val="24"/>
        </w:rPr>
        <w:t>有质量问题</w:t>
      </w:r>
      <w:r>
        <w:rPr>
          <w:rFonts w:hint="eastAsia" w:ascii="宋体" w:hAnsi="宋体" w:cs="宋体"/>
          <w:kern w:val="0"/>
          <w:sz w:val="24"/>
          <w:szCs w:val="24"/>
          <w:lang w:eastAsia="zh-CN"/>
        </w:rPr>
        <w:t>，</w:t>
      </w:r>
      <w:r>
        <w:rPr>
          <w:rFonts w:hint="eastAsia" w:ascii="宋体" w:hAnsi="宋体" w:cs="宋体"/>
          <w:kern w:val="0"/>
          <w:sz w:val="24"/>
          <w:szCs w:val="24"/>
        </w:rPr>
        <w:t>在30天内无条件退货或免费予以调换。</w:t>
      </w:r>
    </w:p>
    <w:p w14:paraId="449F4EC3">
      <w:pPr>
        <w:snapToGrid w:val="0"/>
        <w:spacing w:line="440" w:lineRule="exact"/>
        <w:ind w:firstLine="482" w:firstLineChars="200"/>
        <w:rPr>
          <w:rFonts w:ascii="Times New Roman" w:hAnsi="Times New Roman"/>
          <w:b/>
          <w:bCs/>
          <w:sz w:val="24"/>
          <w:highlight w:val="none"/>
        </w:rPr>
      </w:pPr>
      <w:r>
        <w:rPr>
          <w:rFonts w:hint="eastAsia" w:ascii="Times New Roman" w:hAnsi="Times New Roman"/>
          <w:b/>
          <w:bCs/>
          <w:sz w:val="24"/>
          <w:highlight w:val="none"/>
        </w:rPr>
        <w:t>十四、货物包装、发运及运输</w:t>
      </w:r>
    </w:p>
    <w:p w14:paraId="702B3BA0">
      <w:pPr>
        <w:snapToGrid w:val="0"/>
        <w:spacing w:line="440" w:lineRule="exact"/>
        <w:ind w:firstLine="480" w:firstLineChars="200"/>
        <w:rPr>
          <w:rFonts w:ascii="Times New Roman" w:hAnsi="Times New Roman"/>
          <w:sz w:val="24"/>
          <w:highlight w:val="none"/>
        </w:rPr>
      </w:pPr>
      <w:r>
        <w:rPr>
          <w:rFonts w:hint="eastAsia" w:ascii="Times New Roman" w:hAnsi="Times New Roman"/>
          <w:sz w:val="24"/>
          <w:highlight w:val="none"/>
        </w:rPr>
        <w:t>14.1 乙方应在货物发运前对其进行满足运输距离、防潮、防震、防锈和防破损装卸等要求包装，以保证货物安全运达甲方指定地点。</w:t>
      </w:r>
    </w:p>
    <w:p w14:paraId="51EC67B4">
      <w:pPr>
        <w:snapToGrid w:val="0"/>
        <w:spacing w:line="440" w:lineRule="exact"/>
        <w:ind w:firstLine="480" w:firstLineChars="200"/>
        <w:rPr>
          <w:rFonts w:ascii="Times New Roman" w:hAnsi="Times New Roman"/>
          <w:sz w:val="24"/>
          <w:highlight w:val="none"/>
        </w:rPr>
      </w:pPr>
      <w:r>
        <w:rPr>
          <w:rFonts w:hint="eastAsia" w:ascii="Times New Roman" w:hAnsi="Times New Roman"/>
          <w:sz w:val="24"/>
          <w:highlight w:val="none"/>
        </w:rPr>
        <w:t>14.2 使用说明书、质量检验证明书、随配附件和工具以及清单一并附于货物内。</w:t>
      </w:r>
    </w:p>
    <w:p w14:paraId="6BFF06DA">
      <w:pPr>
        <w:snapToGrid w:val="0"/>
        <w:spacing w:line="440" w:lineRule="exact"/>
        <w:ind w:firstLine="480" w:firstLineChars="200"/>
        <w:rPr>
          <w:rFonts w:ascii="Times New Roman" w:hAnsi="Times New Roman"/>
          <w:sz w:val="24"/>
          <w:highlight w:val="none"/>
        </w:rPr>
      </w:pPr>
      <w:r>
        <w:rPr>
          <w:rFonts w:hint="eastAsia" w:ascii="Times New Roman" w:hAnsi="Times New Roman"/>
          <w:sz w:val="24"/>
          <w:highlight w:val="none"/>
        </w:rPr>
        <w:t>14.3 乙方在货物发运手续办理完毕后24小时内或货到甲方48小时前通知甲方，以准备接货。</w:t>
      </w:r>
    </w:p>
    <w:p w14:paraId="0E8F03CC">
      <w:pPr>
        <w:snapToGrid w:val="0"/>
        <w:spacing w:line="440" w:lineRule="exact"/>
        <w:ind w:firstLine="480" w:firstLineChars="200"/>
        <w:rPr>
          <w:rFonts w:ascii="Times New Roman" w:hAnsi="Times New Roman"/>
          <w:sz w:val="24"/>
          <w:highlight w:val="none"/>
        </w:rPr>
      </w:pPr>
      <w:r>
        <w:rPr>
          <w:rFonts w:hint="eastAsia" w:ascii="Times New Roman" w:hAnsi="Times New Roman"/>
          <w:sz w:val="24"/>
          <w:highlight w:val="none"/>
        </w:rPr>
        <w:t>14.4 货物在交付甲方前发生的风险均由乙方负责。</w:t>
      </w:r>
    </w:p>
    <w:p w14:paraId="37E3C8E0">
      <w:pPr>
        <w:snapToGrid w:val="0"/>
        <w:spacing w:line="440" w:lineRule="exact"/>
        <w:ind w:firstLine="480" w:firstLineChars="200"/>
        <w:rPr>
          <w:rFonts w:ascii="Times New Roman" w:hAnsi="Times New Roman"/>
          <w:sz w:val="24"/>
          <w:highlight w:val="none"/>
        </w:rPr>
      </w:pPr>
      <w:r>
        <w:rPr>
          <w:rFonts w:hint="eastAsia" w:ascii="Times New Roman" w:hAnsi="Times New Roman"/>
          <w:sz w:val="24"/>
          <w:highlight w:val="none"/>
        </w:rPr>
        <w:t>14.5 货物在规定的交付期限内由乙方送达甲方指定的地点视为交付，乙方同时需通知甲方货物已送达。</w:t>
      </w:r>
    </w:p>
    <w:p w14:paraId="78AF83D0">
      <w:pPr>
        <w:snapToGrid w:val="0"/>
        <w:spacing w:line="440" w:lineRule="exact"/>
        <w:ind w:firstLine="482" w:firstLineChars="200"/>
        <w:rPr>
          <w:rFonts w:ascii="Times New Roman" w:hAnsi="Times New Roman"/>
          <w:b/>
          <w:bCs/>
          <w:sz w:val="24"/>
          <w:highlight w:val="none"/>
        </w:rPr>
      </w:pPr>
      <w:r>
        <w:rPr>
          <w:rFonts w:hint="eastAsia" w:ascii="Times New Roman" w:hAnsi="Times New Roman"/>
          <w:b/>
          <w:bCs/>
          <w:sz w:val="24"/>
          <w:highlight w:val="none"/>
        </w:rPr>
        <w:t>十五、违约责任</w:t>
      </w:r>
    </w:p>
    <w:p w14:paraId="2BCF850A">
      <w:pPr>
        <w:snapToGrid w:val="0"/>
        <w:spacing w:line="440" w:lineRule="exact"/>
        <w:ind w:firstLine="480" w:firstLineChars="200"/>
        <w:rPr>
          <w:rFonts w:ascii="Times New Roman" w:hAnsi="Times New Roman"/>
          <w:sz w:val="24"/>
          <w:highlight w:val="none"/>
        </w:rPr>
      </w:pPr>
      <w:r>
        <w:rPr>
          <w:rFonts w:hint="eastAsia" w:ascii="Times New Roman" w:hAnsi="Times New Roman"/>
          <w:sz w:val="24"/>
          <w:highlight w:val="none"/>
        </w:rPr>
        <w:t>15.1 甲方无正当理由拒收货物的，甲方向乙方偿付拒收货款总值的百分之五违约金。</w:t>
      </w:r>
    </w:p>
    <w:p w14:paraId="49A407B6">
      <w:pPr>
        <w:snapToGrid w:val="0"/>
        <w:spacing w:line="440" w:lineRule="exact"/>
        <w:ind w:firstLine="480" w:firstLineChars="200"/>
        <w:rPr>
          <w:rFonts w:ascii="Times New Roman" w:hAnsi="Times New Roman"/>
          <w:sz w:val="24"/>
          <w:highlight w:val="none"/>
        </w:rPr>
      </w:pPr>
      <w:r>
        <w:rPr>
          <w:rFonts w:hint="eastAsia" w:ascii="Times New Roman" w:hAnsi="Times New Roman"/>
          <w:sz w:val="24"/>
          <w:highlight w:val="none"/>
        </w:rPr>
        <w:t>15.2 甲方无故逾期验收和办理货款支付手续的,甲方应按逾期付款总额每日万分之五向乙方支付违约金。</w:t>
      </w:r>
    </w:p>
    <w:p w14:paraId="308B6CDC">
      <w:pPr>
        <w:snapToGrid w:val="0"/>
        <w:spacing w:line="440" w:lineRule="exact"/>
        <w:ind w:firstLine="480" w:firstLineChars="200"/>
        <w:rPr>
          <w:rFonts w:ascii="Times New Roman" w:hAnsi="Times New Roman"/>
          <w:sz w:val="24"/>
          <w:highlight w:val="none"/>
        </w:rPr>
      </w:pPr>
      <w:r>
        <w:rPr>
          <w:rFonts w:hint="eastAsia" w:ascii="Times New Roman" w:hAnsi="Times New Roman"/>
          <w:sz w:val="24"/>
          <w:highlight w:val="none"/>
        </w:rPr>
        <w:t xml:space="preserve">15.3 乙方逾期交付货物的，乙方应按逾期交货总额每日千分之六向甲方支付违约金，由甲方从待付货款中扣除。逾期超过约定日期10个工作日不能交货的，甲方可解除本合同。乙方因逾期交货或因其他违约行为导致甲方解除合同的，乙方应向甲方支付合同总值5%的违约金，如造成甲方损失超过违约金的，超出部分由乙方继续承担赔偿责任。 </w:t>
      </w:r>
    </w:p>
    <w:p w14:paraId="5A5B1913">
      <w:pPr>
        <w:snapToGrid w:val="0"/>
        <w:spacing w:line="440" w:lineRule="exact"/>
        <w:ind w:firstLine="480" w:firstLineChars="200"/>
        <w:rPr>
          <w:rFonts w:ascii="Times New Roman" w:hAnsi="Times New Roman"/>
          <w:sz w:val="24"/>
          <w:highlight w:val="none"/>
        </w:rPr>
      </w:pPr>
      <w:r>
        <w:rPr>
          <w:rFonts w:hint="eastAsia" w:ascii="Times New Roman" w:hAnsi="Times New Roman"/>
          <w:sz w:val="24"/>
          <w:highlight w:val="none"/>
        </w:rPr>
        <w:t>15.4 乙方所交的货物品种、型号、规格、技术参数、质量不符合合同规定及招标文件规定标准的，甲方有权拒收该货物，乙方愿意更换货物但逾期交货的，按乙方逾期交货处理。乙方拒绝更换货物的，甲方可单方面解除合同。</w:t>
      </w:r>
    </w:p>
    <w:p w14:paraId="49A09B9A">
      <w:pPr>
        <w:snapToGrid w:val="0"/>
        <w:spacing w:line="440" w:lineRule="exact"/>
        <w:ind w:firstLine="482" w:firstLineChars="200"/>
        <w:rPr>
          <w:rFonts w:ascii="Times New Roman" w:hAnsi="Times New Roman"/>
          <w:b/>
          <w:bCs/>
          <w:sz w:val="24"/>
          <w:highlight w:val="none"/>
        </w:rPr>
      </w:pPr>
      <w:r>
        <w:rPr>
          <w:rFonts w:hint="eastAsia" w:ascii="Times New Roman" w:hAnsi="Times New Roman"/>
          <w:b/>
          <w:bCs/>
          <w:sz w:val="24"/>
          <w:highlight w:val="none"/>
        </w:rPr>
        <w:t>十六、不可抗力事件处理</w:t>
      </w:r>
    </w:p>
    <w:p w14:paraId="134E7E89">
      <w:pPr>
        <w:snapToGrid w:val="0"/>
        <w:spacing w:line="440" w:lineRule="exact"/>
        <w:ind w:firstLine="480" w:firstLineChars="200"/>
        <w:rPr>
          <w:rFonts w:ascii="Times New Roman" w:hAnsi="Times New Roman"/>
          <w:sz w:val="24"/>
          <w:highlight w:val="none"/>
        </w:rPr>
      </w:pPr>
      <w:r>
        <w:rPr>
          <w:rFonts w:hint="eastAsia" w:ascii="Times New Roman" w:hAnsi="Times New Roman"/>
          <w:sz w:val="24"/>
          <w:highlight w:val="none"/>
        </w:rPr>
        <w:t>16.1 在合同有效期内，任何一方因不可抗力事件导致不能履行合同，则合同履行期可延长，其延长期与不可抗力影响期相同。</w:t>
      </w:r>
    </w:p>
    <w:p w14:paraId="7592951A">
      <w:pPr>
        <w:snapToGrid w:val="0"/>
        <w:spacing w:line="440" w:lineRule="exact"/>
        <w:ind w:firstLine="480" w:firstLineChars="200"/>
        <w:rPr>
          <w:rFonts w:ascii="Times New Roman" w:hAnsi="Times New Roman"/>
          <w:sz w:val="24"/>
          <w:highlight w:val="none"/>
        </w:rPr>
      </w:pPr>
      <w:r>
        <w:rPr>
          <w:rFonts w:hint="eastAsia" w:ascii="Times New Roman" w:hAnsi="Times New Roman"/>
          <w:sz w:val="24"/>
          <w:highlight w:val="none"/>
        </w:rPr>
        <w:t>16.2 不可抗力事件发生后，应立即通知对方，并寄送有关权威机构出具的证明。</w:t>
      </w:r>
    </w:p>
    <w:p w14:paraId="118ABF85">
      <w:pPr>
        <w:snapToGrid w:val="0"/>
        <w:spacing w:line="440" w:lineRule="exact"/>
        <w:ind w:firstLine="480" w:firstLineChars="200"/>
        <w:rPr>
          <w:rFonts w:ascii="Times New Roman" w:hAnsi="Times New Roman"/>
          <w:sz w:val="24"/>
          <w:highlight w:val="none"/>
        </w:rPr>
      </w:pPr>
      <w:r>
        <w:rPr>
          <w:rFonts w:hint="eastAsia" w:ascii="Times New Roman" w:hAnsi="Times New Roman"/>
          <w:sz w:val="24"/>
          <w:highlight w:val="none"/>
        </w:rPr>
        <w:t>16.3 不可抗力事件延续120天以上，双方应通过友好协商，确定是否继续履行合同。</w:t>
      </w:r>
    </w:p>
    <w:p w14:paraId="7B3503A6">
      <w:pPr>
        <w:snapToGrid w:val="0"/>
        <w:spacing w:line="440" w:lineRule="exact"/>
        <w:ind w:firstLine="482" w:firstLineChars="200"/>
        <w:rPr>
          <w:rFonts w:ascii="Times New Roman" w:hAnsi="Times New Roman"/>
          <w:b/>
          <w:bCs/>
          <w:sz w:val="24"/>
          <w:highlight w:val="none"/>
        </w:rPr>
      </w:pPr>
      <w:r>
        <w:rPr>
          <w:rFonts w:hint="eastAsia" w:ascii="Times New Roman" w:hAnsi="Times New Roman"/>
          <w:b/>
          <w:bCs/>
          <w:sz w:val="24"/>
          <w:highlight w:val="none"/>
        </w:rPr>
        <w:t>十七、诉讼</w:t>
      </w:r>
    </w:p>
    <w:p w14:paraId="48BE92C8">
      <w:pPr>
        <w:snapToGrid w:val="0"/>
        <w:spacing w:line="440" w:lineRule="exact"/>
        <w:ind w:firstLine="480" w:firstLineChars="200"/>
        <w:rPr>
          <w:rFonts w:ascii="Times New Roman" w:hAnsi="Times New Roman"/>
          <w:sz w:val="24"/>
          <w:highlight w:val="none"/>
        </w:rPr>
      </w:pPr>
      <w:r>
        <w:rPr>
          <w:rFonts w:hint="eastAsia" w:ascii="Times New Roman" w:hAnsi="Times New Roman"/>
          <w:sz w:val="24"/>
          <w:highlight w:val="none"/>
        </w:rPr>
        <w:t>17.1 双方在执行合同中所发生的一切争议，应通过协商解决。如协商不成，可向合同签订地法院起诉，合同签订地在此约定为盐城市。</w:t>
      </w:r>
    </w:p>
    <w:p w14:paraId="39B661C6">
      <w:pPr>
        <w:snapToGrid w:val="0"/>
        <w:spacing w:line="440" w:lineRule="exact"/>
        <w:ind w:firstLine="482" w:firstLineChars="200"/>
        <w:rPr>
          <w:rFonts w:ascii="Times New Roman" w:hAnsi="Times New Roman"/>
          <w:b/>
          <w:bCs/>
          <w:sz w:val="24"/>
          <w:highlight w:val="none"/>
        </w:rPr>
      </w:pPr>
      <w:r>
        <w:rPr>
          <w:rFonts w:hint="eastAsia" w:ascii="Times New Roman" w:hAnsi="Times New Roman"/>
          <w:b/>
          <w:bCs/>
          <w:sz w:val="24"/>
          <w:highlight w:val="none"/>
        </w:rPr>
        <w:t>十八、合同生效及其它</w:t>
      </w:r>
    </w:p>
    <w:p w14:paraId="3A183080">
      <w:pPr>
        <w:snapToGrid w:val="0"/>
        <w:spacing w:line="440" w:lineRule="exact"/>
        <w:ind w:firstLine="480" w:firstLineChars="200"/>
        <w:rPr>
          <w:rFonts w:ascii="Times New Roman" w:hAnsi="Times New Roman"/>
          <w:sz w:val="24"/>
          <w:highlight w:val="none"/>
        </w:rPr>
      </w:pPr>
      <w:r>
        <w:rPr>
          <w:rFonts w:hint="eastAsia" w:ascii="Times New Roman" w:hAnsi="Times New Roman"/>
          <w:sz w:val="24"/>
          <w:highlight w:val="none"/>
        </w:rPr>
        <w:t>18.1 合同经双方法定代表人或授权委托代表人签字并加盖单位公章。</w:t>
      </w:r>
    </w:p>
    <w:p w14:paraId="6C643BAB">
      <w:pPr>
        <w:snapToGrid w:val="0"/>
        <w:spacing w:line="440" w:lineRule="exact"/>
        <w:ind w:firstLine="480" w:firstLineChars="200"/>
        <w:rPr>
          <w:rFonts w:ascii="Times New Roman" w:hAnsi="Times New Roman"/>
          <w:sz w:val="24"/>
          <w:highlight w:val="none"/>
        </w:rPr>
      </w:pPr>
      <w:r>
        <w:rPr>
          <w:rFonts w:hint="eastAsia" w:ascii="Times New Roman" w:hAnsi="Times New Roman"/>
          <w:sz w:val="24"/>
          <w:highlight w:val="none"/>
        </w:rPr>
        <w:t>18.2本合同未尽事宜，遵照《民法典》有关条文执行。</w:t>
      </w:r>
    </w:p>
    <w:p w14:paraId="1818E6FA">
      <w:pPr>
        <w:snapToGrid w:val="0"/>
        <w:spacing w:line="440" w:lineRule="exact"/>
        <w:ind w:firstLine="480" w:firstLineChars="200"/>
        <w:rPr>
          <w:rFonts w:ascii="Times New Roman" w:hAnsi="Times New Roman"/>
          <w:sz w:val="24"/>
          <w:highlight w:val="none"/>
        </w:rPr>
      </w:pPr>
      <w:r>
        <w:rPr>
          <w:rFonts w:hint="eastAsia" w:ascii="Times New Roman" w:hAnsi="Times New Roman"/>
          <w:sz w:val="24"/>
          <w:highlight w:val="none"/>
        </w:rPr>
        <w:t>18.3 本合同正本一式四份，具有同等法律效力，甲方、乙方各执二份。</w:t>
      </w:r>
    </w:p>
    <w:p w14:paraId="15723BA9">
      <w:pPr>
        <w:snapToGrid w:val="0"/>
        <w:spacing w:line="520" w:lineRule="exact"/>
        <w:ind w:firstLine="480" w:firstLineChars="200"/>
        <w:rPr>
          <w:rFonts w:ascii="Times New Roman" w:hAnsi="Times New Roman"/>
          <w:sz w:val="24"/>
          <w:highlight w:val="none"/>
        </w:rPr>
      </w:pPr>
      <w:r>
        <w:rPr>
          <w:rFonts w:hint="eastAsia" w:ascii="Times New Roman" w:hAnsi="Times New Roman"/>
          <w:sz w:val="24"/>
          <w:highlight w:val="none"/>
        </w:rPr>
        <w:t xml:space="preserve">  </w:t>
      </w:r>
    </w:p>
    <w:p w14:paraId="4F61A077">
      <w:pPr>
        <w:snapToGrid w:val="0"/>
        <w:spacing w:line="520" w:lineRule="exact"/>
        <w:ind w:firstLine="720" w:firstLineChars="300"/>
        <w:rPr>
          <w:rFonts w:ascii="Times New Roman" w:hAnsi="Times New Roman"/>
          <w:sz w:val="24"/>
          <w:highlight w:val="none"/>
        </w:rPr>
      </w:pPr>
      <w:r>
        <w:rPr>
          <w:rFonts w:hint="eastAsia" w:ascii="Times New Roman" w:hAnsi="Times New Roman"/>
          <w:sz w:val="24"/>
          <w:highlight w:val="none"/>
        </w:rPr>
        <w:t xml:space="preserve">甲方：                                   乙方： </w:t>
      </w:r>
    </w:p>
    <w:p w14:paraId="73868EC0">
      <w:pPr>
        <w:snapToGrid w:val="0"/>
        <w:spacing w:line="520" w:lineRule="exact"/>
        <w:ind w:firstLine="480" w:firstLineChars="200"/>
        <w:rPr>
          <w:rFonts w:ascii="Times New Roman" w:hAnsi="Times New Roman"/>
          <w:sz w:val="24"/>
          <w:highlight w:val="none"/>
        </w:rPr>
      </w:pPr>
      <w:r>
        <w:rPr>
          <w:rFonts w:hint="eastAsia" w:ascii="Times New Roman" w:hAnsi="Times New Roman"/>
          <w:sz w:val="24"/>
          <w:highlight w:val="none"/>
        </w:rPr>
        <w:t xml:space="preserve">  地址：                                   地址： </w:t>
      </w:r>
    </w:p>
    <w:p w14:paraId="43B049ED">
      <w:pPr>
        <w:snapToGrid w:val="0"/>
        <w:spacing w:line="520" w:lineRule="exact"/>
        <w:ind w:firstLine="480" w:firstLineChars="200"/>
        <w:rPr>
          <w:rFonts w:ascii="Times New Roman" w:hAnsi="Times New Roman"/>
          <w:sz w:val="24"/>
          <w:highlight w:val="none"/>
        </w:rPr>
      </w:pPr>
      <w:r>
        <w:rPr>
          <w:rFonts w:hint="eastAsia" w:ascii="Times New Roman" w:hAnsi="Times New Roman"/>
          <w:sz w:val="24"/>
          <w:highlight w:val="none"/>
        </w:rPr>
        <w:t xml:space="preserve">  法定代表人或授权代表：                   法定代表人或授权代表：</w:t>
      </w:r>
    </w:p>
    <w:p w14:paraId="7E3AC8C4">
      <w:pPr>
        <w:snapToGrid w:val="0"/>
        <w:spacing w:line="520" w:lineRule="exact"/>
        <w:ind w:firstLine="480" w:firstLineChars="200"/>
        <w:rPr>
          <w:rFonts w:ascii="Times New Roman" w:hAnsi="Times New Roman"/>
          <w:sz w:val="24"/>
          <w:highlight w:val="none"/>
        </w:rPr>
      </w:pPr>
      <w:r>
        <w:rPr>
          <w:rFonts w:hint="eastAsia" w:ascii="Times New Roman" w:hAnsi="Times New Roman"/>
          <w:sz w:val="24"/>
          <w:highlight w:val="none"/>
        </w:rPr>
        <w:t xml:space="preserve">  联系电话：                               联系电话：</w:t>
      </w:r>
    </w:p>
    <w:p w14:paraId="1FF02219">
      <w:pPr>
        <w:snapToGrid w:val="0"/>
        <w:spacing w:line="520" w:lineRule="exact"/>
        <w:ind w:firstLine="480" w:firstLineChars="200"/>
        <w:rPr>
          <w:rFonts w:ascii="Times New Roman" w:hAnsi="Times New Roman"/>
          <w:sz w:val="24"/>
          <w:highlight w:val="none"/>
        </w:rPr>
      </w:pPr>
      <w:r>
        <w:rPr>
          <w:rFonts w:hint="eastAsia" w:ascii="Times New Roman" w:hAnsi="Times New Roman"/>
          <w:sz w:val="24"/>
          <w:highlight w:val="none"/>
        </w:rPr>
        <w:t xml:space="preserve">                                           签订日期：      年  月  日</w:t>
      </w:r>
      <w:bookmarkEnd w:id="121"/>
      <w:bookmarkEnd w:id="122"/>
      <w:bookmarkEnd w:id="123"/>
    </w:p>
    <w:p w14:paraId="17AC91FB">
      <w:pPr>
        <w:spacing w:line="360" w:lineRule="auto"/>
        <w:rPr>
          <w:rFonts w:ascii="Times New Roman" w:hAnsi="Times New Roman" w:eastAsia="宋体" w:cs="宋体"/>
          <w:sz w:val="24"/>
          <w:highlight w:val="none"/>
        </w:rPr>
        <w:sectPr>
          <w:headerReference r:id="rId4" w:type="default"/>
          <w:footerReference r:id="rId5" w:type="default"/>
          <w:pgSz w:w="11906" w:h="16838"/>
          <w:pgMar w:top="1701" w:right="1588" w:bottom="1701" w:left="1588" w:header="851" w:footer="992" w:gutter="0"/>
          <w:pgNumType w:start="1"/>
          <w:cols w:space="425" w:num="1"/>
          <w:docGrid w:type="lines" w:linePitch="312" w:charSpace="0"/>
        </w:sectPr>
      </w:pPr>
    </w:p>
    <w:p w14:paraId="62AF530D">
      <w:pPr>
        <w:pStyle w:val="13"/>
        <w:widowControl/>
        <w:spacing w:line="640" w:lineRule="exact"/>
        <w:jc w:val="center"/>
        <w:outlineLvl w:val="0"/>
        <w:rPr>
          <w:rFonts w:ascii="Times New Roman" w:hAnsi="Times New Roman" w:eastAsia="方正小标宋_GBK"/>
          <w:color w:val="000000"/>
          <w:w w:val="95"/>
          <w:sz w:val="44"/>
          <w:szCs w:val="44"/>
          <w:highlight w:val="none"/>
        </w:rPr>
      </w:pPr>
      <w:bookmarkStart w:id="125" w:name="_Toc162856088"/>
      <w:r>
        <w:rPr>
          <w:rFonts w:hint="eastAsia" w:ascii="Times New Roman" w:hAnsi="Times New Roman" w:eastAsia="方正小标宋_GBK"/>
          <w:color w:val="000000"/>
          <w:w w:val="95"/>
          <w:sz w:val="44"/>
          <w:szCs w:val="44"/>
          <w:highlight w:val="none"/>
        </w:rPr>
        <w:t>第四部分  项目需求</w:t>
      </w:r>
      <w:bookmarkEnd w:id="125"/>
    </w:p>
    <w:p w14:paraId="6AB5922B">
      <w:pPr>
        <w:spacing w:line="360" w:lineRule="auto"/>
        <w:rPr>
          <w:rFonts w:ascii="黑体" w:hAnsi="黑体" w:eastAsia="黑体" w:cs="宋体"/>
          <w:b/>
          <w:bCs/>
          <w:kern w:val="0"/>
          <w:sz w:val="24"/>
          <w:szCs w:val="24"/>
        </w:rPr>
      </w:pPr>
      <w:r>
        <w:rPr>
          <w:rFonts w:hint="eastAsia" w:ascii="黑体" w:hAnsi="黑体" w:eastAsia="黑体" w:cs="宋体"/>
          <w:b/>
          <w:bCs/>
          <w:kern w:val="0"/>
          <w:sz w:val="24"/>
          <w:szCs w:val="24"/>
        </w:rPr>
        <w:t>一、采购内容</w:t>
      </w:r>
    </w:p>
    <w:p w14:paraId="2D5678D8">
      <w:pPr>
        <w:spacing w:line="360" w:lineRule="auto"/>
        <w:ind w:firstLine="480" w:firstLineChars="200"/>
        <w:rPr>
          <w:rFonts w:hint="eastAsia" w:ascii="宋体" w:hAnsi="宋体" w:cs="宋体"/>
          <w:kern w:val="0"/>
          <w:sz w:val="24"/>
          <w:szCs w:val="24"/>
          <w:lang w:val="en-US" w:eastAsia="zh-CN"/>
        </w:rPr>
      </w:pPr>
      <w:r>
        <w:rPr>
          <w:rFonts w:hint="eastAsia" w:ascii="宋体" w:hAnsi="宋体" w:cs="宋体"/>
          <w:kern w:val="0"/>
          <w:sz w:val="24"/>
          <w:szCs w:val="24"/>
          <w:lang w:val="en-US" w:eastAsia="zh-CN"/>
        </w:rPr>
        <w:t>拟对艺术中心音乐教室、公共教室、钢琴教室窗帘进行采购安装。</w:t>
      </w:r>
    </w:p>
    <w:p w14:paraId="306EFE90">
      <w:pPr>
        <w:snapToGrid w:val="0"/>
        <w:spacing w:line="440" w:lineRule="exact"/>
        <w:rPr>
          <w:rFonts w:ascii="Times New Roman" w:hAnsi="Times New Roman" w:eastAsia="黑体" w:cs="Times New Roman"/>
          <w:b/>
          <w:bCs/>
          <w:sz w:val="24"/>
          <w:highlight w:val="none"/>
        </w:rPr>
      </w:pPr>
      <w:r>
        <w:rPr>
          <w:rFonts w:hint="eastAsia" w:ascii="Times New Roman" w:hAnsi="Times New Roman" w:eastAsia="黑体" w:cs="Times New Roman"/>
          <w:b/>
          <w:bCs/>
          <w:sz w:val="24"/>
          <w:highlight w:val="none"/>
        </w:rPr>
        <w:t>二、采购预算</w:t>
      </w:r>
    </w:p>
    <w:p w14:paraId="7E14676E">
      <w:pPr>
        <w:snapToGrid w:val="0"/>
        <w:spacing w:line="440" w:lineRule="exact"/>
        <w:ind w:firstLine="480" w:firstLineChars="200"/>
        <w:rPr>
          <w:rFonts w:ascii="Times New Roman" w:hAnsi="Times New Roman" w:cs="Times New Roman"/>
          <w:sz w:val="24"/>
          <w:szCs w:val="22"/>
          <w:highlight w:val="none"/>
        </w:rPr>
      </w:pPr>
      <w:r>
        <w:rPr>
          <w:rFonts w:hint="eastAsia" w:ascii="Times New Roman" w:hAnsi="Times New Roman" w:cs="Times New Roman"/>
          <w:sz w:val="24"/>
          <w:szCs w:val="22"/>
          <w:highlight w:val="none"/>
        </w:rPr>
        <w:t xml:space="preserve">预算价总价人民币 </w:t>
      </w:r>
      <w:r>
        <w:rPr>
          <w:rFonts w:hint="eastAsia" w:ascii="Times New Roman" w:hAnsi="Times New Roman" w:cs="Times New Roman"/>
          <w:sz w:val="24"/>
          <w:szCs w:val="22"/>
          <w:highlight w:val="none"/>
          <w:lang w:val="en-US" w:eastAsia="zh-CN"/>
        </w:rPr>
        <w:t>9</w:t>
      </w:r>
      <w:r>
        <w:rPr>
          <w:rFonts w:hint="eastAsia" w:ascii="Times New Roman" w:hAnsi="Times New Roman" w:cs="Times New Roman"/>
          <w:sz w:val="24"/>
          <w:szCs w:val="22"/>
          <w:highlight w:val="none"/>
        </w:rPr>
        <w:t xml:space="preserve"> 万元，控制总价 </w:t>
      </w:r>
      <w:r>
        <w:rPr>
          <w:rFonts w:hint="eastAsia" w:ascii="Times New Roman" w:hAnsi="Times New Roman" w:cs="Times New Roman"/>
          <w:sz w:val="24"/>
          <w:szCs w:val="22"/>
          <w:highlight w:val="none"/>
          <w:lang w:val="en-US" w:eastAsia="zh-CN"/>
        </w:rPr>
        <w:t>9</w:t>
      </w:r>
      <w:r>
        <w:rPr>
          <w:rFonts w:hint="eastAsia" w:ascii="Times New Roman" w:hAnsi="Times New Roman" w:cs="Times New Roman"/>
          <w:sz w:val="24"/>
          <w:szCs w:val="22"/>
          <w:highlight w:val="none"/>
        </w:rPr>
        <w:t xml:space="preserve"> 万元。</w:t>
      </w:r>
    </w:p>
    <w:p w14:paraId="00B30E04">
      <w:pPr>
        <w:numPr>
          <w:ilvl w:val="0"/>
          <w:numId w:val="3"/>
        </w:numPr>
        <w:spacing w:line="360" w:lineRule="auto"/>
        <w:rPr>
          <w:rFonts w:hint="eastAsia"/>
        </w:rPr>
      </w:pPr>
      <w:r>
        <w:rPr>
          <w:rFonts w:hint="eastAsia" w:ascii="宋体" w:hAnsi="宋体" w:eastAsia="宋体" w:cs="宋体"/>
          <w:b/>
          <w:bCs/>
          <w:kern w:val="0"/>
          <w:sz w:val="24"/>
          <w:szCs w:val="24"/>
        </w:rPr>
        <w:t>采购物品参数及</w:t>
      </w:r>
      <w:r>
        <w:rPr>
          <w:rFonts w:hint="eastAsia" w:ascii="宋体" w:hAnsi="宋体" w:eastAsia="宋体" w:cs="宋体"/>
          <w:b/>
          <w:bCs/>
          <w:kern w:val="0"/>
          <w:sz w:val="24"/>
          <w:szCs w:val="24"/>
          <w:lang w:val="en-US" w:eastAsia="zh-CN"/>
        </w:rPr>
        <w:t>技术</w:t>
      </w:r>
      <w:r>
        <w:rPr>
          <w:rFonts w:hint="eastAsia" w:ascii="宋体" w:hAnsi="宋体" w:eastAsia="宋体" w:cs="宋体"/>
          <w:b/>
          <w:bCs/>
          <w:kern w:val="0"/>
          <w:sz w:val="24"/>
          <w:szCs w:val="24"/>
        </w:rPr>
        <w:t>要求</w:t>
      </w:r>
    </w:p>
    <w:tbl>
      <w:tblPr>
        <w:tblStyle w:val="16"/>
        <w:tblW w:w="848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34"/>
        <w:gridCol w:w="1166"/>
        <w:gridCol w:w="6586"/>
      </w:tblGrid>
      <w:tr w14:paraId="47E6F7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7" w:hRule="atLeast"/>
          <w:jc w:val="center"/>
        </w:trPr>
        <w:tc>
          <w:tcPr>
            <w:tcW w:w="734" w:type="dxa"/>
            <w:vAlign w:val="center"/>
          </w:tcPr>
          <w:p w14:paraId="72961C41">
            <w:pPr>
              <w:autoSpaceDE w:val="0"/>
              <w:autoSpaceDN w:val="0"/>
              <w:spacing w:line="240" w:lineRule="auto"/>
              <w:jc w:val="center"/>
              <w:outlineLvl w:val="0"/>
              <w:rPr>
                <w:rFonts w:hint="eastAsia" w:ascii="宋体" w:hAnsi="宋体" w:eastAsia="宋体" w:cs="宋体"/>
                <w:b/>
                <w:bCs/>
                <w:sz w:val="21"/>
                <w:szCs w:val="21"/>
              </w:rPr>
            </w:pPr>
            <w:r>
              <w:rPr>
                <w:rFonts w:hint="eastAsia" w:ascii="宋体" w:hAnsi="宋体" w:eastAsia="宋体" w:cs="宋体"/>
                <w:b/>
                <w:bCs/>
                <w:sz w:val="21"/>
                <w:szCs w:val="21"/>
              </w:rPr>
              <w:t>序号</w:t>
            </w:r>
          </w:p>
        </w:tc>
        <w:tc>
          <w:tcPr>
            <w:tcW w:w="1166" w:type="dxa"/>
            <w:vAlign w:val="center"/>
          </w:tcPr>
          <w:p w14:paraId="007D28F9">
            <w:pPr>
              <w:autoSpaceDE w:val="0"/>
              <w:autoSpaceDN w:val="0"/>
              <w:spacing w:line="240" w:lineRule="auto"/>
              <w:jc w:val="center"/>
              <w:outlineLvl w:val="0"/>
              <w:rPr>
                <w:rFonts w:hint="default" w:ascii="宋体" w:hAnsi="宋体" w:eastAsia="宋体" w:cs="宋体"/>
                <w:b/>
                <w:bCs/>
                <w:sz w:val="21"/>
                <w:szCs w:val="21"/>
                <w:lang w:val="en-US" w:eastAsia="zh-CN"/>
              </w:rPr>
            </w:pPr>
            <w:r>
              <w:rPr>
                <w:rFonts w:hint="eastAsia" w:ascii="宋体" w:hAnsi="宋体" w:eastAsia="宋体" w:cs="宋体"/>
                <w:b/>
                <w:bCs/>
                <w:sz w:val="21"/>
                <w:szCs w:val="21"/>
                <w:lang w:val="en-US" w:eastAsia="zh-CN"/>
              </w:rPr>
              <w:t>采购物品名称</w:t>
            </w:r>
          </w:p>
        </w:tc>
        <w:tc>
          <w:tcPr>
            <w:tcW w:w="6586" w:type="dxa"/>
            <w:vAlign w:val="center"/>
          </w:tcPr>
          <w:p w14:paraId="424E9ACC">
            <w:pPr>
              <w:autoSpaceDE w:val="0"/>
              <w:autoSpaceDN w:val="0"/>
              <w:spacing w:line="240" w:lineRule="auto"/>
              <w:jc w:val="center"/>
              <w:outlineLvl w:val="0"/>
              <w:rPr>
                <w:rFonts w:hint="eastAsia" w:ascii="宋体" w:hAnsi="宋体" w:eastAsia="宋体" w:cs="宋体"/>
                <w:b/>
                <w:bCs/>
                <w:sz w:val="21"/>
                <w:szCs w:val="21"/>
              </w:rPr>
            </w:pPr>
            <w:r>
              <w:rPr>
                <w:rFonts w:hint="eastAsia" w:ascii="宋体" w:hAnsi="宋体" w:eastAsia="宋体" w:cs="宋体"/>
                <w:b/>
                <w:bCs/>
                <w:sz w:val="21"/>
                <w:szCs w:val="21"/>
                <w:lang w:val="en-US" w:eastAsia="zh-CN"/>
              </w:rPr>
              <w:t>参数和</w:t>
            </w:r>
            <w:r>
              <w:rPr>
                <w:rFonts w:hint="eastAsia" w:ascii="宋体" w:hAnsi="宋体" w:eastAsia="宋体" w:cs="宋体"/>
                <w:b/>
                <w:bCs/>
                <w:sz w:val="21"/>
                <w:szCs w:val="21"/>
              </w:rPr>
              <w:t>技术要求</w:t>
            </w:r>
          </w:p>
        </w:tc>
      </w:tr>
      <w:tr w14:paraId="565E1D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03" w:hRule="atLeast"/>
          <w:jc w:val="center"/>
        </w:trPr>
        <w:tc>
          <w:tcPr>
            <w:tcW w:w="734" w:type="dxa"/>
            <w:vAlign w:val="center"/>
          </w:tcPr>
          <w:p w14:paraId="5AA41C52">
            <w:pPr>
              <w:autoSpaceDE w:val="0"/>
              <w:autoSpaceDN w:val="0"/>
              <w:spacing w:line="240" w:lineRule="auto"/>
              <w:jc w:val="center"/>
              <w:outlineLvl w:val="0"/>
              <w:rPr>
                <w:rFonts w:hint="eastAsia" w:ascii="宋体" w:hAnsi="宋体" w:eastAsia="宋体" w:cs="宋体"/>
                <w:sz w:val="21"/>
                <w:szCs w:val="21"/>
              </w:rPr>
            </w:pPr>
            <w:r>
              <w:rPr>
                <w:rFonts w:hint="eastAsia" w:ascii="宋体" w:hAnsi="宋体" w:eastAsia="宋体" w:cs="宋体"/>
                <w:sz w:val="21"/>
                <w:szCs w:val="21"/>
              </w:rPr>
              <w:t>1</w:t>
            </w:r>
          </w:p>
        </w:tc>
        <w:tc>
          <w:tcPr>
            <w:tcW w:w="1166" w:type="dxa"/>
            <w:vAlign w:val="center"/>
          </w:tcPr>
          <w:p w14:paraId="572342FE">
            <w:pPr>
              <w:widowControl/>
              <w:spacing w:line="240" w:lineRule="auto"/>
              <w:jc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纤维阻燃面料窗</w:t>
            </w:r>
            <w:r>
              <w:rPr>
                <w:rFonts w:hint="eastAsia" w:ascii="宋体" w:hAnsi="宋体" w:eastAsia="宋体" w:cs="宋体"/>
                <w:color w:val="000000"/>
                <w:kern w:val="0"/>
                <w:sz w:val="21"/>
                <w:szCs w:val="21"/>
              </w:rPr>
              <w:t>帘</w:t>
            </w:r>
          </w:p>
        </w:tc>
        <w:tc>
          <w:tcPr>
            <w:tcW w:w="6586" w:type="dxa"/>
            <w:vAlign w:val="center"/>
          </w:tcPr>
          <w:p w14:paraId="1D71FBF7">
            <w:pPr>
              <w:numPr>
                <w:ilvl w:val="0"/>
                <w:numId w:val="0"/>
              </w:numPr>
              <w:spacing w:before="35" w:line="240" w:lineRule="auto"/>
              <w:ind w:right="572" w:rightChars="0"/>
              <w:jc w:val="left"/>
              <w:rPr>
                <w:rFonts w:hint="eastAsia" w:ascii="宋体" w:hAnsi="宋体" w:eastAsia="宋体" w:cs="宋体"/>
                <w:spacing w:val="5"/>
                <w:sz w:val="21"/>
                <w:szCs w:val="21"/>
                <w:highlight w:val="none"/>
              </w:rPr>
            </w:pPr>
            <w:r>
              <w:rPr>
                <w:rFonts w:hint="eastAsia" w:ascii="宋体" w:hAnsi="宋体" w:eastAsia="宋体" w:cs="宋体"/>
                <w:spacing w:val="5"/>
                <w:sz w:val="21"/>
                <w:szCs w:val="21"/>
                <w:highlight w:val="none"/>
              </w:rPr>
              <w:t>1、成分：98.4%%聚酯纤维，1.6%其他纤维；净单位面积质量480g/？O±5g （依据GB/T  4669-2008标准）</w:t>
            </w:r>
          </w:p>
          <w:p w14:paraId="001670D6">
            <w:pPr>
              <w:numPr>
                <w:ilvl w:val="0"/>
                <w:numId w:val="0"/>
              </w:numPr>
              <w:spacing w:before="35" w:line="240" w:lineRule="auto"/>
              <w:ind w:right="572" w:rightChars="0"/>
              <w:jc w:val="left"/>
              <w:rPr>
                <w:rFonts w:hint="eastAsia" w:ascii="宋体" w:hAnsi="宋体" w:eastAsia="宋体" w:cs="宋体"/>
                <w:spacing w:val="5"/>
                <w:sz w:val="21"/>
                <w:szCs w:val="21"/>
                <w:highlight w:val="none"/>
              </w:rPr>
            </w:pPr>
            <w:r>
              <w:rPr>
                <w:rFonts w:hint="eastAsia" w:ascii="宋体" w:hAnsi="宋体" w:eastAsia="宋体" w:cs="宋体"/>
                <w:spacing w:val="5"/>
                <w:sz w:val="21"/>
                <w:szCs w:val="21"/>
                <w:highlight w:val="none"/>
              </w:rPr>
              <w:t>★2、甲醛含量）（mg/kg)：未检出 （依据GB/T  2912.1-2009标准）</w:t>
            </w:r>
          </w:p>
          <w:p w14:paraId="195C7F29">
            <w:pPr>
              <w:numPr>
                <w:ilvl w:val="0"/>
                <w:numId w:val="0"/>
              </w:numPr>
              <w:spacing w:before="35" w:line="240" w:lineRule="auto"/>
              <w:ind w:right="572" w:rightChars="0"/>
              <w:jc w:val="left"/>
              <w:rPr>
                <w:rFonts w:hint="eastAsia" w:ascii="宋体" w:hAnsi="宋体" w:eastAsia="宋体" w:cs="宋体"/>
                <w:spacing w:val="5"/>
                <w:sz w:val="21"/>
                <w:szCs w:val="21"/>
                <w:highlight w:val="none"/>
              </w:rPr>
            </w:pPr>
            <w:r>
              <w:rPr>
                <w:rFonts w:hint="eastAsia" w:ascii="宋体" w:hAnsi="宋体" w:eastAsia="宋体" w:cs="宋体"/>
                <w:spacing w:val="5"/>
                <w:sz w:val="21"/>
                <w:szCs w:val="21"/>
                <w:highlight w:val="none"/>
              </w:rPr>
              <w:t>★3、PH值：5.0-7.0  （依据GB/T  7573-2009标准）</w:t>
            </w:r>
          </w:p>
          <w:p w14:paraId="467CE09A">
            <w:pPr>
              <w:numPr>
                <w:ilvl w:val="0"/>
                <w:numId w:val="0"/>
              </w:numPr>
              <w:spacing w:before="35" w:line="240" w:lineRule="auto"/>
              <w:ind w:right="572" w:rightChars="0"/>
              <w:jc w:val="left"/>
              <w:rPr>
                <w:rFonts w:hint="eastAsia" w:ascii="宋体" w:hAnsi="宋体" w:eastAsia="宋体" w:cs="宋体"/>
                <w:spacing w:val="5"/>
                <w:sz w:val="21"/>
                <w:szCs w:val="21"/>
                <w:highlight w:val="none"/>
              </w:rPr>
            </w:pPr>
            <w:r>
              <w:rPr>
                <w:rFonts w:hint="eastAsia" w:ascii="宋体" w:hAnsi="宋体" w:eastAsia="宋体" w:cs="宋体"/>
                <w:spacing w:val="5"/>
                <w:sz w:val="21"/>
                <w:szCs w:val="21"/>
                <w:highlight w:val="none"/>
              </w:rPr>
              <w:t>★4、异味：无 （依据GB/T  18401-2010标准）</w:t>
            </w:r>
          </w:p>
          <w:p w14:paraId="4CBB7440">
            <w:pPr>
              <w:numPr>
                <w:ilvl w:val="0"/>
                <w:numId w:val="0"/>
              </w:numPr>
              <w:spacing w:before="35" w:line="240" w:lineRule="auto"/>
              <w:ind w:right="572" w:rightChars="0"/>
              <w:jc w:val="left"/>
              <w:rPr>
                <w:rFonts w:hint="eastAsia" w:ascii="宋体" w:hAnsi="宋体" w:eastAsia="宋体" w:cs="宋体"/>
                <w:spacing w:val="5"/>
                <w:sz w:val="21"/>
                <w:szCs w:val="21"/>
                <w:highlight w:val="none"/>
              </w:rPr>
            </w:pPr>
            <w:r>
              <w:rPr>
                <w:rFonts w:hint="eastAsia" w:ascii="宋体" w:hAnsi="宋体" w:eastAsia="宋体" w:cs="宋体"/>
                <w:spacing w:val="5"/>
                <w:sz w:val="21"/>
                <w:szCs w:val="21"/>
                <w:highlight w:val="none"/>
              </w:rPr>
              <w:t>5、可分解致癌芳香胺染料（水洗前）（mg/kg)：未检出 （依据GB/T  17592-2011标准）</w:t>
            </w:r>
          </w:p>
          <w:p w14:paraId="78FC7AFA">
            <w:pPr>
              <w:numPr>
                <w:ilvl w:val="0"/>
                <w:numId w:val="0"/>
              </w:numPr>
              <w:spacing w:before="35" w:line="240" w:lineRule="auto"/>
              <w:ind w:right="572" w:rightChars="0"/>
              <w:jc w:val="left"/>
              <w:rPr>
                <w:rFonts w:hint="eastAsia" w:ascii="宋体" w:hAnsi="宋体" w:eastAsia="宋体" w:cs="宋体"/>
                <w:spacing w:val="5"/>
                <w:sz w:val="21"/>
                <w:szCs w:val="21"/>
                <w:highlight w:val="none"/>
              </w:rPr>
            </w:pPr>
            <w:r>
              <w:rPr>
                <w:rFonts w:hint="eastAsia" w:ascii="宋体" w:hAnsi="宋体" w:eastAsia="宋体" w:cs="宋体"/>
                <w:spacing w:val="5"/>
                <w:sz w:val="21"/>
                <w:szCs w:val="21"/>
                <w:highlight w:val="none"/>
              </w:rPr>
              <w:t>6、耐皂洗色牢度：变色≥4级，沾色≥4级（依据GB/T  19817-2005标准）</w:t>
            </w:r>
          </w:p>
          <w:p w14:paraId="139CF610">
            <w:pPr>
              <w:numPr>
                <w:ilvl w:val="0"/>
                <w:numId w:val="0"/>
              </w:numPr>
              <w:spacing w:before="35" w:line="240" w:lineRule="auto"/>
              <w:ind w:right="572" w:rightChars="0"/>
              <w:jc w:val="left"/>
              <w:rPr>
                <w:rFonts w:hint="eastAsia" w:ascii="宋体" w:hAnsi="宋体" w:eastAsia="宋体" w:cs="宋体"/>
                <w:spacing w:val="5"/>
                <w:sz w:val="21"/>
                <w:szCs w:val="21"/>
                <w:highlight w:val="none"/>
              </w:rPr>
            </w:pPr>
            <w:r>
              <w:rPr>
                <w:rFonts w:hint="eastAsia" w:ascii="宋体" w:hAnsi="宋体" w:eastAsia="宋体" w:cs="宋体"/>
                <w:spacing w:val="5"/>
                <w:sz w:val="21"/>
                <w:szCs w:val="21"/>
                <w:highlight w:val="none"/>
              </w:rPr>
              <w:t>7、耐干洗色牢度：变色≥4级（依据GB/T  5711-2015标准）</w:t>
            </w:r>
          </w:p>
          <w:p w14:paraId="6DD85FD8">
            <w:pPr>
              <w:numPr>
                <w:ilvl w:val="0"/>
                <w:numId w:val="0"/>
              </w:numPr>
              <w:spacing w:before="35" w:line="240" w:lineRule="auto"/>
              <w:ind w:right="572" w:rightChars="0"/>
              <w:jc w:val="left"/>
              <w:rPr>
                <w:rFonts w:hint="eastAsia" w:ascii="宋体" w:hAnsi="宋体" w:eastAsia="宋体" w:cs="宋体"/>
                <w:spacing w:val="5"/>
                <w:sz w:val="21"/>
                <w:szCs w:val="21"/>
                <w:highlight w:val="none"/>
              </w:rPr>
            </w:pPr>
            <w:r>
              <w:rPr>
                <w:rFonts w:hint="eastAsia" w:ascii="宋体" w:hAnsi="宋体" w:eastAsia="宋体" w:cs="宋体"/>
                <w:spacing w:val="5"/>
                <w:sz w:val="21"/>
                <w:szCs w:val="21"/>
                <w:highlight w:val="none"/>
              </w:rPr>
              <w:t>8、耐水色牢度：变色≥4级，沾色≥4级（依据GB/T  5713-2013标准）</w:t>
            </w:r>
          </w:p>
          <w:p w14:paraId="6CDA6D1C">
            <w:pPr>
              <w:numPr>
                <w:ilvl w:val="0"/>
                <w:numId w:val="0"/>
              </w:numPr>
              <w:spacing w:before="35" w:line="240" w:lineRule="auto"/>
              <w:ind w:right="572" w:rightChars="0"/>
              <w:jc w:val="left"/>
              <w:rPr>
                <w:rFonts w:hint="eastAsia" w:ascii="宋体" w:hAnsi="宋体" w:eastAsia="宋体" w:cs="宋体"/>
                <w:spacing w:val="5"/>
                <w:sz w:val="21"/>
                <w:szCs w:val="21"/>
                <w:highlight w:val="none"/>
              </w:rPr>
            </w:pPr>
            <w:r>
              <w:rPr>
                <w:rFonts w:hint="eastAsia" w:ascii="宋体" w:hAnsi="宋体" w:eastAsia="宋体" w:cs="宋体"/>
                <w:spacing w:val="5"/>
                <w:sz w:val="21"/>
                <w:szCs w:val="21"/>
                <w:highlight w:val="none"/>
              </w:rPr>
              <w:t>9、耐酸汗渍色牢度：变色≥4级，沾色≥4级（依据GB/T  3922-2013标准）</w:t>
            </w:r>
          </w:p>
          <w:p w14:paraId="0535494B">
            <w:pPr>
              <w:numPr>
                <w:ilvl w:val="0"/>
                <w:numId w:val="0"/>
              </w:numPr>
              <w:spacing w:before="35" w:line="240" w:lineRule="auto"/>
              <w:ind w:right="572" w:rightChars="0"/>
              <w:jc w:val="left"/>
              <w:rPr>
                <w:rFonts w:hint="eastAsia" w:ascii="宋体" w:hAnsi="宋体" w:eastAsia="宋体" w:cs="宋体"/>
                <w:spacing w:val="5"/>
                <w:sz w:val="21"/>
                <w:szCs w:val="21"/>
                <w:highlight w:val="none"/>
              </w:rPr>
            </w:pPr>
            <w:r>
              <w:rPr>
                <w:rFonts w:hint="eastAsia" w:ascii="宋体" w:hAnsi="宋体" w:eastAsia="宋体" w:cs="宋体"/>
                <w:spacing w:val="5"/>
                <w:sz w:val="21"/>
                <w:szCs w:val="21"/>
                <w:highlight w:val="none"/>
              </w:rPr>
              <w:t>10、耐碱汗渍色牢度：变色≥4级，沾色≥4级（依据GB/T  3922-2013标准）</w:t>
            </w:r>
          </w:p>
          <w:p w14:paraId="3F5DF8D0">
            <w:pPr>
              <w:numPr>
                <w:ilvl w:val="0"/>
                <w:numId w:val="0"/>
              </w:numPr>
              <w:spacing w:before="35" w:line="240" w:lineRule="auto"/>
              <w:ind w:right="572" w:rightChars="0"/>
              <w:jc w:val="left"/>
              <w:rPr>
                <w:rFonts w:hint="eastAsia" w:ascii="宋体" w:hAnsi="宋体" w:eastAsia="宋体" w:cs="宋体"/>
                <w:spacing w:val="5"/>
                <w:sz w:val="21"/>
                <w:szCs w:val="21"/>
                <w:highlight w:val="none"/>
              </w:rPr>
            </w:pPr>
            <w:r>
              <w:rPr>
                <w:rFonts w:hint="eastAsia" w:ascii="宋体" w:hAnsi="宋体" w:eastAsia="宋体" w:cs="宋体"/>
                <w:spacing w:val="5"/>
                <w:sz w:val="21"/>
                <w:szCs w:val="21"/>
                <w:highlight w:val="none"/>
              </w:rPr>
              <w:t>11、耐摩擦色牢度：干摩≥4级，湿摩≥4级（依据GB/T  3920-2008标准）</w:t>
            </w:r>
          </w:p>
          <w:p w14:paraId="1022F8D5">
            <w:pPr>
              <w:numPr>
                <w:ilvl w:val="0"/>
                <w:numId w:val="0"/>
              </w:numPr>
              <w:spacing w:before="35" w:line="240" w:lineRule="auto"/>
              <w:ind w:right="572" w:rightChars="0"/>
              <w:jc w:val="left"/>
              <w:rPr>
                <w:rFonts w:hint="eastAsia" w:ascii="宋体" w:hAnsi="宋体" w:eastAsia="宋体" w:cs="宋体"/>
                <w:spacing w:val="5"/>
                <w:sz w:val="21"/>
                <w:szCs w:val="21"/>
                <w:highlight w:val="none"/>
              </w:rPr>
            </w:pPr>
            <w:r>
              <w:rPr>
                <w:rFonts w:hint="eastAsia" w:ascii="宋体" w:hAnsi="宋体" w:eastAsia="宋体" w:cs="宋体"/>
                <w:spacing w:val="5"/>
                <w:sz w:val="21"/>
                <w:szCs w:val="21"/>
                <w:highlight w:val="none"/>
              </w:rPr>
              <w:t>12、耐光色牢度：≥5级（依据GB/T  19817-2005标准）</w:t>
            </w:r>
          </w:p>
          <w:p w14:paraId="02B1CC26">
            <w:pPr>
              <w:numPr>
                <w:ilvl w:val="0"/>
                <w:numId w:val="0"/>
              </w:numPr>
              <w:spacing w:before="35" w:line="240" w:lineRule="auto"/>
              <w:ind w:right="572" w:rightChars="0"/>
              <w:jc w:val="left"/>
              <w:rPr>
                <w:rFonts w:hint="eastAsia" w:ascii="宋体" w:hAnsi="宋体" w:eastAsia="宋体" w:cs="宋体"/>
                <w:spacing w:val="5"/>
                <w:sz w:val="21"/>
                <w:szCs w:val="21"/>
                <w:highlight w:val="none"/>
              </w:rPr>
            </w:pPr>
            <w:r>
              <w:rPr>
                <w:rFonts w:hint="eastAsia" w:ascii="宋体" w:hAnsi="宋体" w:eastAsia="宋体" w:cs="宋体"/>
                <w:spacing w:val="5"/>
                <w:sz w:val="21"/>
                <w:szCs w:val="21"/>
                <w:highlight w:val="none"/>
              </w:rPr>
              <w:t>13、耐唾液色牢度：≥4级（依据GB/T  18886-2019标准）</w:t>
            </w:r>
          </w:p>
          <w:p w14:paraId="08C9B455">
            <w:pPr>
              <w:numPr>
                <w:ilvl w:val="0"/>
                <w:numId w:val="0"/>
              </w:numPr>
              <w:spacing w:before="35" w:line="240" w:lineRule="auto"/>
              <w:ind w:right="572" w:rightChars="0"/>
              <w:jc w:val="left"/>
              <w:rPr>
                <w:rFonts w:hint="eastAsia" w:ascii="宋体" w:hAnsi="宋体" w:eastAsia="宋体" w:cs="宋体"/>
                <w:spacing w:val="5"/>
                <w:sz w:val="21"/>
                <w:szCs w:val="21"/>
                <w:highlight w:val="none"/>
              </w:rPr>
            </w:pPr>
            <w:r>
              <w:rPr>
                <w:rFonts w:hint="eastAsia" w:ascii="宋体" w:hAnsi="宋体" w:eastAsia="宋体" w:cs="宋体"/>
                <w:spacing w:val="5"/>
                <w:sz w:val="21"/>
                <w:szCs w:val="21"/>
                <w:highlight w:val="none"/>
              </w:rPr>
              <w:t>14、耐热压色牢度：≥4级（依据GB/T 6152-1997标准）</w:t>
            </w:r>
          </w:p>
          <w:p w14:paraId="7C8B5715">
            <w:pPr>
              <w:numPr>
                <w:ilvl w:val="0"/>
                <w:numId w:val="0"/>
              </w:numPr>
              <w:spacing w:before="35" w:line="240" w:lineRule="auto"/>
              <w:ind w:right="572" w:rightChars="0"/>
              <w:jc w:val="left"/>
              <w:rPr>
                <w:rFonts w:hint="eastAsia" w:ascii="宋体" w:hAnsi="宋体" w:eastAsia="宋体" w:cs="宋体"/>
                <w:spacing w:val="5"/>
                <w:sz w:val="21"/>
                <w:szCs w:val="21"/>
                <w:highlight w:val="none"/>
              </w:rPr>
            </w:pPr>
            <w:r>
              <w:rPr>
                <w:rFonts w:hint="eastAsia" w:ascii="宋体" w:hAnsi="宋体" w:eastAsia="宋体" w:cs="宋体"/>
                <w:spacing w:val="5"/>
                <w:sz w:val="21"/>
                <w:szCs w:val="21"/>
                <w:highlight w:val="none"/>
              </w:rPr>
              <w:t>15、酚黄变色牢度：≥4级（依据GB/T 29778-2013标准）</w:t>
            </w:r>
          </w:p>
          <w:p w14:paraId="3707068C">
            <w:pPr>
              <w:numPr>
                <w:ilvl w:val="0"/>
                <w:numId w:val="0"/>
              </w:numPr>
              <w:spacing w:before="35" w:line="240" w:lineRule="auto"/>
              <w:ind w:right="572" w:rightChars="0"/>
              <w:jc w:val="left"/>
              <w:rPr>
                <w:rFonts w:hint="eastAsia" w:ascii="宋体" w:hAnsi="宋体" w:eastAsia="宋体" w:cs="宋体"/>
                <w:spacing w:val="5"/>
                <w:sz w:val="21"/>
                <w:szCs w:val="21"/>
                <w:highlight w:val="none"/>
              </w:rPr>
            </w:pPr>
            <w:r>
              <w:rPr>
                <w:rFonts w:hint="eastAsia" w:ascii="宋体" w:hAnsi="宋体" w:eastAsia="宋体" w:cs="宋体"/>
                <w:spacing w:val="5"/>
                <w:sz w:val="21"/>
                <w:szCs w:val="21"/>
                <w:highlight w:val="none"/>
              </w:rPr>
              <w:t>16、PVC色迁移：≥4级（依据ISO 105-X10：1993标准）</w:t>
            </w:r>
          </w:p>
          <w:p w14:paraId="5C555770">
            <w:pPr>
              <w:numPr>
                <w:ilvl w:val="0"/>
                <w:numId w:val="0"/>
              </w:numPr>
              <w:spacing w:before="35" w:line="240" w:lineRule="auto"/>
              <w:ind w:right="572" w:rightChars="0"/>
              <w:jc w:val="left"/>
              <w:rPr>
                <w:rFonts w:hint="eastAsia" w:ascii="宋体" w:hAnsi="宋体" w:eastAsia="宋体" w:cs="宋体"/>
                <w:spacing w:val="5"/>
                <w:sz w:val="21"/>
                <w:szCs w:val="21"/>
                <w:highlight w:val="none"/>
              </w:rPr>
            </w:pPr>
            <w:r>
              <w:rPr>
                <w:rFonts w:hint="eastAsia" w:ascii="宋体" w:hAnsi="宋体" w:eastAsia="宋体" w:cs="宋体"/>
                <w:spacing w:val="5"/>
                <w:sz w:val="21"/>
                <w:szCs w:val="21"/>
                <w:highlight w:val="none"/>
              </w:rPr>
              <w:t>17、耐磨性能：≥30000转（根据 GB/T 21196.2-2007标准）</w:t>
            </w:r>
          </w:p>
          <w:p w14:paraId="1FAADC71">
            <w:pPr>
              <w:numPr>
                <w:ilvl w:val="0"/>
                <w:numId w:val="0"/>
              </w:numPr>
              <w:spacing w:before="35" w:line="240" w:lineRule="auto"/>
              <w:ind w:right="572" w:rightChars="0"/>
              <w:jc w:val="left"/>
              <w:rPr>
                <w:rFonts w:hint="eastAsia" w:ascii="宋体" w:hAnsi="宋体" w:eastAsia="宋体" w:cs="宋体"/>
                <w:spacing w:val="5"/>
                <w:sz w:val="21"/>
                <w:szCs w:val="21"/>
                <w:highlight w:val="none"/>
              </w:rPr>
            </w:pPr>
            <w:r>
              <w:rPr>
                <w:rFonts w:hint="eastAsia" w:ascii="宋体" w:hAnsi="宋体" w:eastAsia="宋体" w:cs="宋体"/>
                <w:spacing w:val="5"/>
                <w:sz w:val="21"/>
                <w:szCs w:val="21"/>
                <w:highlight w:val="none"/>
              </w:rPr>
              <w:t>18、织物密度：经密730根/10cm±10根，纬密220根/10cm±10根 （依据GB/T  4668-1995标准）</w:t>
            </w:r>
          </w:p>
          <w:p w14:paraId="50693DE5">
            <w:pPr>
              <w:numPr>
                <w:ilvl w:val="0"/>
                <w:numId w:val="0"/>
              </w:numPr>
              <w:spacing w:before="35" w:line="240" w:lineRule="auto"/>
              <w:ind w:right="572" w:rightChars="0"/>
              <w:jc w:val="left"/>
              <w:rPr>
                <w:rFonts w:hint="eastAsia" w:ascii="宋体" w:hAnsi="宋体" w:eastAsia="宋体" w:cs="宋体"/>
                <w:spacing w:val="5"/>
                <w:sz w:val="21"/>
                <w:szCs w:val="21"/>
                <w:highlight w:val="none"/>
              </w:rPr>
            </w:pPr>
            <w:r>
              <w:rPr>
                <w:rFonts w:hint="eastAsia" w:ascii="宋体" w:hAnsi="宋体" w:eastAsia="宋体" w:cs="宋体"/>
                <w:spacing w:val="5"/>
                <w:sz w:val="21"/>
                <w:szCs w:val="21"/>
                <w:highlight w:val="none"/>
              </w:rPr>
              <w:t>19、断裂强力：经向：≥1600N，纬向：≥1100N (依据GB/T 3923.1-2013标准)</w:t>
            </w:r>
          </w:p>
          <w:p w14:paraId="671FC6DA">
            <w:pPr>
              <w:numPr>
                <w:ilvl w:val="0"/>
                <w:numId w:val="0"/>
              </w:numPr>
              <w:spacing w:before="35" w:line="240" w:lineRule="auto"/>
              <w:ind w:right="572" w:rightChars="0"/>
              <w:jc w:val="left"/>
              <w:rPr>
                <w:rFonts w:hint="eastAsia" w:ascii="宋体" w:hAnsi="宋体" w:eastAsia="宋体" w:cs="宋体"/>
                <w:spacing w:val="5"/>
                <w:sz w:val="21"/>
                <w:szCs w:val="21"/>
                <w:highlight w:val="none"/>
              </w:rPr>
            </w:pPr>
            <w:r>
              <w:rPr>
                <w:rFonts w:hint="eastAsia" w:ascii="宋体" w:hAnsi="宋体" w:eastAsia="宋体" w:cs="宋体"/>
                <w:spacing w:val="5"/>
                <w:sz w:val="21"/>
                <w:szCs w:val="21"/>
                <w:highlight w:val="none"/>
              </w:rPr>
              <w:t>20、纱线抗滑移：经向≤2mm，纬向≤2mm  (依据GB/T 19817-2005标准)</w:t>
            </w:r>
          </w:p>
          <w:p w14:paraId="3B44DEC3">
            <w:pPr>
              <w:numPr>
                <w:ilvl w:val="0"/>
                <w:numId w:val="0"/>
              </w:numPr>
              <w:spacing w:before="35" w:line="240" w:lineRule="auto"/>
              <w:ind w:right="572" w:rightChars="0"/>
              <w:jc w:val="left"/>
              <w:rPr>
                <w:rFonts w:hint="eastAsia" w:ascii="宋体" w:hAnsi="宋体" w:eastAsia="宋体" w:cs="宋体"/>
                <w:spacing w:val="5"/>
                <w:sz w:val="21"/>
                <w:szCs w:val="21"/>
                <w:highlight w:val="none"/>
              </w:rPr>
            </w:pPr>
            <w:r>
              <w:rPr>
                <w:rFonts w:hint="eastAsia" w:ascii="宋体" w:hAnsi="宋体" w:eastAsia="宋体" w:cs="宋体"/>
                <w:spacing w:val="5"/>
                <w:sz w:val="21"/>
                <w:szCs w:val="21"/>
                <w:highlight w:val="none"/>
              </w:rPr>
              <w:t>21、拆下纱线线密度（水洗前）：经纱：20±5；纬纱：雪尼尔纱：250±5；棉型纱：65±5；特种纱：30±5(依据GB/T 29256.5-2012标准)</w:t>
            </w:r>
          </w:p>
          <w:p w14:paraId="4966D9ED">
            <w:pPr>
              <w:numPr>
                <w:ilvl w:val="0"/>
                <w:numId w:val="0"/>
              </w:numPr>
              <w:spacing w:before="35" w:line="240" w:lineRule="auto"/>
              <w:ind w:right="572" w:rightChars="0"/>
              <w:jc w:val="left"/>
              <w:rPr>
                <w:rFonts w:hint="eastAsia" w:ascii="宋体" w:hAnsi="宋体" w:eastAsia="宋体" w:cs="宋体"/>
                <w:spacing w:val="5"/>
                <w:sz w:val="21"/>
                <w:szCs w:val="21"/>
                <w:highlight w:val="none"/>
              </w:rPr>
            </w:pPr>
            <w:r>
              <w:rPr>
                <w:rFonts w:hint="eastAsia" w:ascii="宋体" w:hAnsi="宋体" w:eastAsia="宋体" w:cs="宋体"/>
                <w:spacing w:val="5"/>
                <w:sz w:val="21"/>
                <w:szCs w:val="21"/>
                <w:highlight w:val="none"/>
              </w:rPr>
              <w:t>22、防紫外线性能的判定：UPF值≥500，UPF等级＞50，T（UVA）AV/% ≤ 0.2，T（UVB）AV/%  ≤0.1 (依据GB/T 18830-2009标准)</w:t>
            </w:r>
          </w:p>
          <w:p w14:paraId="43AAE7C0">
            <w:pPr>
              <w:numPr>
                <w:ilvl w:val="0"/>
                <w:numId w:val="0"/>
              </w:numPr>
              <w:spacing w:before="35" w:line="240" w:lineRule="auto"/>
              <w:ind w:right="572" w:rightChars="0"/>
              <w:jc w:val="left"/>
              <w:rPr>
                <w:rFonts w:hint="eastAsia" w:ascii="宋体" w:hAnsi="宋体" w:eastAsia="宋体" w:cs="宋体"/>
                <w:spacing w:val="5"/>
                <w:sz w:val="21"/>
                <w:szCs w:val="21"/>
                <w:highlight w:val="none"/>
              </w:rPr>
            </w:pPr>
            <w:r>
              <w:rPr>
                <w:rFonts w:hint="eastAsia" w:ascii="宋体" w:hAnsi="宋体" w:eastAsia="宋体" w:cs="宋体"/>
                <w:spacing w:val="5"/>
                <w:sz w:val="21"/>
                <w:szCs w:val="21"/>
                <w:highlight w:val="none"/>
              </w:rPr>
              <w:t>23、透气率:  ≥135mm/s （依据GB/T 5453-1997标准）</w:t>
            </w:r>
          </w:p>
          <w:p w14:paraId="2007890A">
            <w:pPr>
              <w:numPr>
                <w:ilvl w:val="0"/>
                <w:numId w:val="0"/>
              </w:numPr>
              <w:spacing w:before="35" w:line="240" w:lineRule="auto"/>
              <w:ind w:right="572" w:rightChars="0"/>
              <w:jc w:val="left"/>
              <w:rPr>
                <w:rFonts w:hint="eastAsia" w:ascii="宋体" w:hAnsi="宋体" w:eastAsia="宋体" w:cs="宋体"/>
                <w:spacing w:val="5"/>
                <w:sz w:val="21"/>
                <w:szCs w:val="21"/>
                <w:highlight w:val="none"/>
              </w:rPr>
            </w:pPr>
            <w:r>
              <w:rPr>
                <w:rFonts w:hint="eastAsia" w:ascii="宋体" w:hAnsi="宋体" w:eastAsia="宋体" w:cs="宋体"/>
                <w:spacing w:val="5"/>
                <w:sz w:val="21"/>
                <w:szCs w:val="21"/>
                <w:highlight w:val="none"/>
              </w:rPr>
              <w:t>24、透光率：≤2%（依据FZ/T 01009-2008标准）</w:t>
            </w:r>
          </w:p>
          <w:p w14:paraId="034F8FFD">
            <w:pPr>
              <w:numPr>
                <w:ilvl w:val="0"/>
                <w:numId w:val="0"/>
              </w:numPr>
              <w:spacing w:before="35" w:line="240" w:lineRule="auto"/>
              <w:ind w:right="572" w:rightChars="0"/>
              <w:jc w:val="left"/>
              <w:rPr>
                <w:rFonts w:hint="eastAsia" w:ascii="宋体" w:hAnsi="宋体" w:eastAsia="宋体" w:cs="宋体"/>
                <w:spacing w:val="5"/>
                <w:sz w:val="21"/>
                <w:szCs w:val="21"/>
                <w:highlight w:val="none"/>
              </w:rPr>
            </w:pPr>
            <w:r>
              <w:rPr>
                <w:rFonts w:hint="eastAsia" w:ascii="宋体" w:hAnsi="宋体" w:eastAsia="宋体" w:cs="宋体"/>
                <w:spacing w:val="5"/>
                <w:sz w:val="21"/>
                <w:szCs w:val="21"/>
                <w:highlight w:val="none"/>
              </w:rPr>
              <w:t>25、易去污性：≥4级（依据FZ/T 01118-2012标准）</w:t>
            </w:r>
          </w:p>
          <w:p w14:paraId="36C0DA71">
            <w:pPr>
              <w:numPr>
                <w:ilvl w:val="0"/>
                <w:numId w:val="0"/>
              </w:numPr>
              <w:spacing w:before="35" w:line="240" w:lineRule="auto"/>
              <w:ind w:right="572" w:rightChars="0"/>
              <w:jc w:val="left"/>
              <w:rPr>
                <w:rFonts w:hint="eastAsia" w:ascii="宋体" w:hAnsi="宋体" w:eastAsia="宋体" w:cs="宋体"/>
                <w:spacing w:val="5"/>
                <w:sz w:val="21"/>
                <w:szCs w:val="21"/>
                <w:highlight w:val="none"/>
              </w:rPr>
            </w:pPr>
            <w:r>
              <w:rPr>
                <w:rFonts w:hint="eastAsia" w:ascii="宋体" w:hAnsi="宋体" w:eastAsia="宋体" w:cs="宋体"/>
                <w:spacing w:val="5"/>
                <w:sz w:val="21"/>
                <w:szCs w:val="21"/>
                <w:highlight w:val="none"/>
              </w:rPr>
              <w:t>26、水洗尺寸变化率：经向：-2~+2，纬向：-0.5~+0.5 (依据GB/T 19817-2005标准)</w:t>
            </w:r>
          </w:p>
          <w:p w14:paraId="6019AE4F">
            <w:pPr>
              <w:numPr>
                <w:ilvl w:val="0"/>
                <w:numId w:val="0"/>
              </w:numPr>
              <w:spacing w:before="35" w:line="240" w:lineRule="auto"/>
              <w:ind w:right="572" w:rightChars="0"/>
              <w:jc w:val="left"/>
              <w:rPr>
                <w:rFonts w:hint="eastAsia" w:ascii="宋体" w:hAnsi="宋体" w:eastAsia="宋体" w:cs="宋体"/>
                <w:spacing w:val="5"/>
                <w:sz w:val="21"/>
                <w:szCs w:val="21"/>
                <w:highlight w:val="none"/>
              </w:rPr>
            </w:pPr>
            <w:r>
              <w:rPr>
                <w:rFonts w:hint="eastAsia" w:ascii="宋体" w:hAnsi="宋体" w:eastAsia="宋体" w:cs="宋体"/>
                <w:spacing w:val="5"/>
                <w:sz w:val="21"/>
                <w:szCs w:val="21"/>
                <w:highlight w:val="none"/>
              </w:rPr>
              <w:t>27、水洗后外观：色差≥4级，起球≥4级，扭曲情况：无明显扭曲（根据ISO 6330-2012标准）</w:t>
            </w:r>
          </w:p>
          <w:p w14:paraId="0298BADE">
            <w:pPr>
              <w:numPr>
                <w:ilvl w:val="0"/>
                <w:numId w:val="0"/>
              </w:numPr>
              <w:spacing w:before="35" w:line="240" w:lineRule="auto"/>
              <w:ind w:right="572" w:rightChars="0"/>
              <w:jc w:val="left"/>
              <w:rPr>
                <w:rFonts w:hint="eastAsia" w:ascii="宋体" w:hAnsi="宋体" w:eastAsia="宋体" w:cs="宋体"/>
                <w:spacing w:val="5"/>
                <w:sz w:val="21"/>
                <w:szCs w:val="21"/>
                <w:highlight w:val="none"/>
              </w:rPr>
            </w:pPr>
            <w:r>
              <w:rPr>
                <w:rFonts w:hint="eastAsia" w:ascii="宋体" w:hAnsi="宋体" w:eastAsia="宋体" w:cs="宋体"/>
                <w:spacing w:val="5"/>
                <w:sz w:val="21"/>
                <w:szCs w:val="21"/>
                <w:highlight w:val="none"/>
              </w:rPr>
              <w:t>28、静电半衰期：50s ±10s（根据GB/T12703.1-2008标准)</w:t>
            </w:r>
          </w:p>
          <w:p w14:paraId="6E524A12">
            <w:pPr>
              <w:numPr>
                <w:ilvl w:val="0"/>
                <w:numId w:val="0"/>
              </w:numPr>
              <w:spacing w:before="35" w:line="240" w:lineRule="auto"/>
              <w:ind w:right="572" w:rightChars="0"/>
              <w:jc w:val="left"/>
              <w:rPr>
                <w:rFonts w:hint="eastAsia" w:ascii="宋体" w:hAnsi="宋体" w:eastAsia="宋体" w:cs="宋体"/>
                <w:spacing w:val="5"/>
                <w:sz w:val="21"/>
                <w:szCs w:val="21"/>
                <w:highlight w:val="none"/>
              </w:rPr>
            </w:pPr>
            <w:r>
              <w:rPr>
                <w:rFonts w:hint="eastAsia" w:ascii="宋体" w:hAnsi="宋体" w:eastAsia="宋体" w:cs="宋体"/>
                <w:spacing w:val="5"/>
                <w:sz w:val="21"/>
                <w:szCs w:val="21"/>
                <w:highlight w:val="none"/>
              </w:rPr>
              <w:t>29、表面电阻率：5.3*10^14Ω（根据GB/T12703.4-2010标准）</w:t>
            </w:r>
          </w:p>
          <w:p w14:paraId="116E531C">
            <w:pPr>
              <w:numPr>
                <w:ilvl w:val="0"/>
                <w:numId w:val="0"/>
              </w:numPr>
              <w:spacing w:before="35" w:line="240" w:lineRule="auto"/>
              <w:ind w:right="572" w:rightChars="0"/>
              <w:jc w:val="left"/>
              <w:rPr>
                <w:rFonts w:hint="eastAsia" w:ascii="宋体" w:hAnsi="宋体" w:eastAsia="宋体" w:cs="宋体"/>
                <w:spacing w:val="5"/>
                <w:sz w:val="21"/>
                <w:szCs w:val="21"/>
                <w:highlight w:val="none"/>
              </w:rPr>
            </w:pPr>
            <w:r>
              <w:rPr>
                <w:rFonts w:hint="eastAsia" w:ascii="宋体" w:hAnsi="宋体" w:eastAsia="宋体" w:cs="宋体"/>
                <w:spacing w:val="5"/>
                <w:sz w:val="21"/>
                <w:szCs w:val="21"/>
                <w:highlight w:val="none"/>
              </w:rPr>
              <w:t>30、电荷面密度：2μC/？O±0.5（根据GB/T12703.2-2009标准）</w:t>
            </w:r>
          </w:p>
          <w:p w14:paraId="06F1E6CE">
            <w:pPr>
              <w:numPr>
                <w:ilvl w:val="0"/>
                <w:numId w:val="0"/>
              </w:numPr>
              <w:spacing w:before="35" w:line="240" w:lineRule="auto"/>
              <w:ind w:right="572" w:rightChars="0"/>
              <w:jc w:val="left"/>
              <w:rPr>
                <w:rFonts w:hint="eastAsia" w:ascii="宋体" w:hAnsi="宋体" w:eastAsia="宋体" w:cs="宋体"/>
                <w:spacing w:val="5"/>
                <w:sz w:val="21"/>
                <w:szCs w:val="21"/>
                <w:highlight w:val="none"/>
              </w:rPr>
            </w:pPr>
            <w:r>
              <w:rPr>
                <w:rFonts w:hint="eastAsia" w:ascii="宋体" w:hAnsi="宋体" w:eastAsia="宋体" w:cs="宋体"/>
                <w:spacing w:val="5"/>
                <w:sz w:val="21"/>
                <w:szCs w:val="21"/>
                <w:highlight w:val="none"/>
              </w:rPr>
              <w:t>31、五氯苯酚（水洗前) / (mg/kg)：未检出（依据GB/T 18414.1-2006标准）</w:t>
            </w:r>
          </w:p>
          <w:p w14:paraId="26871C1A">
            <w:pPr>
              <w:numPr>
                <w:ilvl w:val="0"/>
                <w:numId w:val="0"/>
              </w:numPr>
              <w:spacing w:before="35" w:line="240" w:lineRule="auto"/>
              <w:ind w:right="572" w:rightChars="0"/>
              <w:jc w:val="left"/>
              <w:rPr>
                <w:rFonts w:hint="eastAsia" w:ascii="宋体" w:hAnsi="宋体" w:eastAsia="宋体" w:cs="宋体"/>
                <w:spacing w:val="5"/>
                <w:sz w:val="21"/>
                <w:szCs w:val="21"/>
                <w:highlight w:val="none"/>
              </w:rPr>
            </w:pPr>
            <w:r>
              <w:rPr>
                <w:rFonts w:hint="eastAsia" w:ascii="宋体" w:hAnsi="宋体" w:eastAsia="宋体" w:cs="宋体"/>
                <w:spacing w:val="5"/>
                <w:sz w:val="21"/>
                <w:szCs w:val="21"/>
                <w:highlight w:val="none"/>
              </w:rPr>
              <w:t>32、四氯苯酚（水洗前) / (mg/kg)：未检出（依据GB/T 18414.1-2006标准）</w:t>
            </w:r>
          </w:p>
          <w:p w14:paraId="2A81A2B4">
            <w:pPr>
              <w:numPr>
                <w:ilvl w:val="0"/>
                <w:numId w:val="0"/>
              </w:numPr>
              <w:spacing w:before="35" w:line="240" w:lineRule="auto"/>
              <w:ind w:right="572" w:rightChars="0"/>
              <w:jc w:val="left"/>
              <w:rPr>
                <w:rFonts w:hint="eastAsia" w:ascii="宋体" w:hAnsi="宋体" w:eastAsia="宋体" w:cs="宋体"/>
                <w:spacing w:val="5"/>
                <w:sz w:val="21"/>
                <w:szCs w:val="21"/>
                <w:highlight w:val="none"/>
              </w:rPr>
            </w:pPr>
            <w:r>
              <w:rPr>
                <w:rFonts w:hint="eastAsia" w:ascii="宋体" w:hAnsi="宋体" w:eastAsia="宋体" w:cs="宋体"/>
                <w:spacing w:val="5"/>
                <w:sz w:val="21"/>
                <w:szCs w:val="21"/>
                <w:highlight w:val="none"/>
              </w:rPr>
              <w:t>33、致癌染料（水洗前）/（mg/kg)：未检出 （依据GB/T  20382-2006标准）</w:t>
            </w:r>
          </w:p>
          <w:p w14:paraId="40F98295">
            <w:pPr>
              <w:numPr>
                <w:ilvl w:val="0"/>
                <w:numId w:val="0"/>
              </w:numPr>
              <w:spacing w:before="35" w:line="240" w:lineRule="auto"/>
              <w:ind w:right="572" w:rightChars="0"/>
              <w:jc w:val="left"/>
              <w:rPr>
                <w:rFonts w:hint="eastAsia" w:ascii="宋体" w:hAnsi="宋体" w:eastAsia="宋体" w:cs="宋体"/>
                <w:spacing w:val="5"/>
                <w:sz w:val="21"/>
                <w:szCs w:val="21"/>
                <w:highlight w:val="none"/>
              </w:rPr>
            </w:pPr>
            <w:r>
              <w:rPr>
                <w:rFonts w:hint="eastAsia" w:ascii="宋体" w:hAnsi="宋体" w:eastAsia="宋体" w:cs="宋体"/>
                <w:spacing w:val="5"/>
                <w:sz w:val="21"/>
                <w:szCs w:val="21"/>
                <w:highlight w:val="none"/>
              </w:rPr>
              <w:t>34、致敏性分散染料（水洗前）/ （mg/kg)：未检出 (依据GB/T 20383-2006标准)</w:t>
            </w:r>
          </w:p>
          <w:p w14:paraId="079A56B2">
            <w:pPr>
              <w:numPr>
                <w:ilvl w:val="0"/>
                <w:numId w:val="0"/>
              </w:numPr>
              <w:spacing w:before="35" w:line="240" w:lineRule="auto"/>
              <w:ind w:right="572" w:rightChars="0"/>
              <w:jc w:val="left"/>
              <w:rPr>
                <w:rFonts w:hint="eastAsia" w:ascii="宋体" w:hAnsi="宋体" w:eastAsia="宋体" w:cs="宋体"/>
                <w:spacing w:val="5"/>
                <w:sz w:val="21"/>
                <w:szCs w:val="21"/>
                <w:highlight w:val="none"/>
              </w:rPr>
            </w:pPr>
            <w:r>
              <w:rPr>
                <w:rFonts w:hint="eastAsia" w:ascii="宋体" w:hAnsi="宋体" w:eastAsia="宋体" w:cs="宋体"/>
                <w:spacing w:val="5"/>
                <w:sz w:val="21"/>
                <w:szCs w:val="21"/>
                <w:highlight w:val="none"/>
              </w:rPr>
              <w:t>35、邻苯二甲酸脂（水洗前） / （mg/kg)：未检出（依据EN  14372:2004标准）</w:t>
            </w:r>
          </w:p>
          <w:p w14:paraId="3AB1B610">
            <w:pPr>
              <w:numPr>
                <w:ilvl w:val="0"/>
                <w:numId w:val="0"/>
              </w:numPr>
              <w:spacing w:before="35" w:line="240" w:lineRule="auto"/>
              <w:ind w:right="572" w:rightChars="0"/>
              <w:jc w:val="left"/>
              <w:rPr>
                <w:rFonts w:hint="eastAsia" w:ascii="宋体" w:hAnsi="宋体" w:eastAsia="宋体" w:cs="宋体"/>
                <w:spacing w:val="5"/>
                <w:sz w:val="21"/>
                <w:szCs w:val="21"/>
                <w:highlight w:val="none"/>
              </w:rPr>
            </w:pPr>
            <w:r>
              <w:rPr>
                <w:rFonts w:hint="eastAsia" w:ascii="宋体" w:hAnsi="宋体" w:eastAsia="宋体" w:cs="宋体"/>
                <w:spacing w:val="5"/>
                <w:sz w:val="21"/>
                <w:szCs w:val="21"/>
                <w:highlight w:val="none"/>
              </w:rPr>
              <w:t>36、重金属可萃取量（砷、镉、钴、铬、铜、镍、铅、锑）：未检出（依据GB/T  17593.2-2007标准）</w:t>
            </w:r>
          </w:p>
          <w:p w14:paraId="72E62529">
            <w:pPr>
              <w:numPr>
                <w:ilvl w:val="0"/>
                <w:numId w:val="0"/>
              </w:numPr>
              <w:spacing w:before="35" w:line="240" w:lineRule="auto"/>
              <w:ind w:right="572" w:rightChars="0"/>
              <w:jc w:val="left"/>
              <w:rPr>
                <w:rFonts w:hint="eastAsia" w:ascii="宋体" w:hAnsi="宋体" w:eastAsia="宋体" w:cs="宋体"/>
                <w:spacing w:val="5"/>
                <w:sz w:val="21"/>
                <w:szCs w:val="21"/>
                <w:highlight w:val="none"/>
              </w:rPr>
            </w:pPr>
            <w:r>
              <w:rPr>
                <w:rFonts w:hint="eastAsia" w:ascii="宋体" w:hAnsi="宋体" w:eastAsia="宋体" w:cs="宋体"/>
                <w:spacing w:val="5"/>
                <w:sz w:val="21"/>
                <w:szCs w:val="21"/>
                <w:highlight w:val="none"/>
              </w:rPr>
              <w:t>37、六价铬含量：未检出(依据GB/T 17593.3-2006标准)</w:t>
            </w:r>
          </w:p>
          <w:p w14:paraId="0A970759">
            <w:pPr>
              <w:numPr>
                <w:ilvl w:val="0"/>
                <w:numId w:val="0"/>
              </w:numPr>
              <w:spacing w:before="35" w:line="240" w:lineRule="auto"/>
              <w:ind w:right="572" w:rightChars="0"/>
              <w:jc w:val="left"/>
              <w:rPr>
                <w:rFonts w:hint="eastAsia" w:ascii="宋体" w:hAnsi="宋体" w:eastAsia="宋体" w:cs="宋体"/>
                <w:spacing w:val="5"/>
                <w:sz w:val="21"/>
                <w:szCs w:val="21"/>
                <w:highlight w:val="none"/>
              </w:rPr>
            </w:pPr>
            <w:r>
              <w:rPr>
                <w:rFonts w:hint="eastAsia" w:ascii="宋体" w:hAnsi="宋体" w:eastAsia="宋体" w:cs="宋体"/>
                <w:spacing w:val="5"/>
                <w:sz w:val="21"/>
                <w:szCs w:val="21"/>
                <w:highlight w:val="none"/>
              </w:rPr>
              <w:t>38、富马酸二甲酯：未检出(依据GB/T 28190-2011标准)</w:t>
            </w:r>
          </w:p>
          <w:p w14:paraId="72E15B4D">
            <w:pPr>
              <w:numPr>
                <w:ilvl w:val="0"/>
                <w:numId w:val="0"/>
              </w:numPr>
              <w:spacing w:before="35" w:line="240" w:lineRule="auto"/>
              <w:ind w:right="572" w:rightChars="0"/>
              <w:jc w:val="left"/>
              <w:rPr>
                <w:rFonts w:hint="eastAsia" w:ascii="宋体" w:hAnsi="宋体" w:eastAsia="宋体" w:cs="宋体"/>
                <w:spacing w:val="5"/>
                <w:sz w:val="21"/>
                <w:szCs w:val="21"/>
                <w:highlight w:val="none"/>
              </w:rPr>
            </w:pPr>
            <w:r>
              <w:rPr>
                <w:rFonts w:hint="eastAsia" w:ascii="宋体" w:hAnsi="宋体" w:eastAsia="宋体" w:cs="宋体"/>
                <w:spacing w:val="5"/>
                <w:sz w:val="21"/>
                <w:szCs w:val="21"/>
                <w:highlight w:val="none"/>
              </w:rPr>
              <w:t>39、遮光率：≥99%（依据FZ/T 62025-2015标准）</w:t>
            </w:r>
          </w:p>
          <w:p w14:paraId="16D48A6A">
            <w:pPr>
              <w:numPr>
                <w:ilvl w:val="0"/>
                <w:numId w:val="0"/>
              </w:numPr>
              <w:spacing w:before="35" w:line="240" w:lineRule="auto"/>
              <w:ind w:right="572" w:rightChars="0"/>
              <w:jc w:val="left"/>
              <w:rPr>
                <w:rFonts w:hint="eastAsia" w:ascii="宋体" w:hAnsi="宋体" w:eastAsia="宋体" w:cs="宋体"/>
                <w:spacing w:val="5"/>
                <w:sz w:val="21"/>
                <w:szCs w:val="21"/>
                <w:highlight w:val="none"/>
              </w:rPr>
            </w:pPr>
            <w:r>
              <w:rPr>
                <w:rFonts w:hint="eastAsia" w:ascii="宋体" w:hAnsi="宋体" w:eastAsia="宋体" w:cs="宋体"/>
                <w:spacing w:val="5"/>
                <w:sz w:val="21"/>
                <w:szCs w:val="21"/>
                <w:highlight w:val="none"/>
              </w:rPr>
              <w:t>40、重金属汞可萃取量：未检出（依据GB/T  17593.4-2006标准）</w:t>
            </w:r>
          </w:p>
          <w:p w14:paraId="5ADBBBA7">
            <w:pPr>
              <w:numPr>
                <w:ilvl w:val="0"/>
                <w:numId w:val="0"/>
              </w:numPr>
              <w:spacing w:before="35" w:line="240" w:lineRule="auto"/>
              <w:ind w:right="572" w:rightChars="0"/>
              <w:jc w:val="left"/>
              <w:rPr>
                <w:rFonts w:hint="eastAsia" w:ascii="宋体" w:hAnsi="宋体" w:eastAsia="宋体" w:cs="宋体"/>
                <w:spacing w:val="5"/>
                <w:sz w:val="21"/>
                <w:szCs w:val="21"/>
                <w:highlight w:val="none"/>
              </w:rPr>
            </w:pPr>
            <w:r>
              <w:rPr>
                <w:rFonts w:hint="eastAsia" w:ascii="宋体" w:hAnsi="宋体" w:eastAsia="宋体" w:cs="宋体"/>
                <w:spacing w:val="5"/>
                <w:sz w:val="21"/>
                <w:szCs w:val="21"/>
                <w:highlight w:val="none"/>
              </w:rPr>
              <w:t>41、氯化苯和氯化钾苯：未检出（依据GB/T  20384-2006标准）</w:t>
            </w:r>
          </w:p>
          <w:p w14:paraId="018F04C9">
            <w:pPr>
              <w:numPr>
                <w:ilvl w:val="0"/>
                <w:numId w:val="0"/>
              </w:numPr>
              <w:spacing w:before="35" w:line="240" w:lineRule="auto"/>
              <w:ind w:right="572" w:rightChars="0"/>
              <w:jc w:val="left"/>
              <w:rPr>
                <w:rFonts w:hint="eastAsia" w:ascii="宋体" w:hAnsi="宋体" w:eastAsia="宋体" w:cs="宋体"/>
                <w:spacing w:val="5"/>
                <w:sz w:val="21"/>
                <w:szCs w:val="21"/>
                <w:highlight w:val="none"/>
              </w:rPr>
            </w:pPr>
            <w:r>
              <w:rPr>
                <w:rFonts w:hint="eastAsia" w:ascii="宋体" w:hAnsi="宋体" w:eastAsia="宋体" w:cs="宋体"/>
                <w:spacing w:val="5"/>
                <w:sz w:val="21"/>
                <w:szCs w:val="21"/>
                <w:highlight w:val="none"/>
              </w:rPr>
              <w:t>42、有机锡化合物：未检出（依据GB/T  20385.1-2021标准）</w:t>
            </w:r>
          </w:p>
          <w:p w14:paraId="3533E110">
            <w:pPr>
              <w:numPr>
                <w:ilvl w:val="0"/>
                <w:numId w:val="0"/>
              </w:numPr>
              <w:spacing w:before="35" w:line="240" w:lineRule="auto"/>
              <w:ind w:right="572" w:rightChars="0"/>
              <w:jc w:val="left"/>
              <w:rPr>
                <w:rFonts w:hint="eastAsia" w:ascii="宋体" w:hAnsi="宋体" w:eastAsia="宋体" w:cs="宋体"/>
                <w:spacing w:val="5"/>
                <w:sz w:val="21"/>
                <w:szCs w:val="21"/>
                <w:highlight w:val="none"/>
              </w:rPr>
            </w:pPr>
            <w:r>
              <w:rPr>
                <w:rFonts w:hint="eastAsia" w:ascii="宋体" w:hAnsi="宋体" w:eastAsia="宋体" w:cs="宋体"/>
                <w:spacing w:val="5"/>
                <w:sz w:val="21"/>
                <w:szCs w:val="21"/>
                <w:highlight w:val="none"/>
              </w:rPr>
              <w:t>43、悬垂性：≥60%（依据GB/T 23329-2009标准）</w:t>
            </w:r>
          </w:p>
          <w:p w14:paraId="3EBCDBEF">
            <w:pPr>
              <w:numPr>
                <w:ilvl w:val="0"/>
                <w:numId w:val="0"/>
              </w:numPr>
              <w:spacing w:before="35" w:line="240" w:lineRule="auto"/>
              <w:ind w:right="572" w:rightChars="0"/>
              <w:jc w:val="left"/>
              <w:rPr>
                <w:rFonts w:hint="eastAsia" w:ascii="宋体" w:hAnsi="宋体" w:eastAsia="宋体" w:cs="宋体"/>
                <w:spacing w:val="5"/>
                <w:sz w:val="21"/>
                <w:szCs w:val="21"/>
                <w:highlight w:val="none"/>
              </w:rPr>
            </w:pPr>
            <w:r>
              <w:rPr>
                <w:rFonts w:hint="eastAsia" w:ascii="宋体" w:hAnsi="宋体" w:eastAsia="宋体" w:cs="宋体"/>
                <w:spacing w:val="5"/>
                <w:sz w:val="21"/>
                <w:szCs w:val="21"/>
                <w:highlight w:val="none"/>
              </w:rPr>
              <w:t>44、残余表面活性剂：未检出（依据GB/T 23322-2018标准）</w:t>
            </w:r>
          </w:p>
          <w:p w14:paraId="479E0DBD">
            <w:pPr>
              <w:numPr>
                <w:ilvl w:val="0"/>
                <w:numId w:val="0"/>
              </w:numPr>
              <w:spacing w:before="35" w:line="240" w:lineRule="auto"/>
              <w:ind w:right="572" w:rightChars="0"/>
              <w:jc w:val="left"/>
              <w:rPr>
                <w:rFonts w:hint="eastAsia" w:ascii="宋体" w:hAnsi="宋体" w:eastAsia="宋体" w:cs="宋体"/>
                <w:spacing w:val="5"/>
                <w:sz w:val="21"/>
                <w:szCs w:val="21"/>
                <w:highlight w:val="none"/>
              </w:rPr>
            </w:pPr>
            <w:r>
              <w:rPr>
                <w:rFonts w:hint="eastAsia" w:ascii="宋体" w:hAnsi="宋体" w:eastAsia="宋体" w:cs="宋体"/>
                <w:spacing w:val="5"/>
                <w:sz w:val="21"/>
                <w:szCs w:val="21"/>
                <w:highlight w:val="none"/>
              </w:rPr>
              <w:t>45、抗菌性能：金黄色葡萄球菌≥95%，大肠杆菌≥90%，白色念珠菌≥95% (依据GB/T 20944.3-2008标准)</w:t>
            </w:r>
          </w:p>
          <w:p w14:paraId="2FBF8492">
            <w:pPr>
              <w:numPr>
                <w:ilvl w:val="0"/>
                <w:numId w:val="0"/>
              </w:numPr>
              <w:spacing w:before="35" w:line="240" w:lineRule="auto"/>
              <w:ind w:right="572" w:rightChars="0"/>
              <w:jc w:val="left"/>
              <w:rPr>
                <w:rFonts w:hint="eastAsia" w:ascii="宋体" w:hAnsi="宋体" w:eastAsia="宋体" w:cs="宋体"/>
                <w:spacing w:val="5"/>
                <w:sz w:val="21"/>
                <w:szCs w:val="21"/>
                <w:highlight w:val="none"/>
              </w:rPr>
            </w:pPr>
            <w:r>
              <w:rPr>
                <w:rFonts w:hint="eastAsia" w:ascii="宋体" w:hAnsi="宋体" w:eastAsia="宋体" w:cs="宋体"/>
                <w:spacing w:val="5"/>
                <w:sz w:val="21"/>
                <w:szCs w:val="21"/>
                <w:highlight w:val="none"/>
              </w:rPr>
              <w:t>46、阻燃性能：水洗61次后仍符合GB8624-2012中B1级要求</w:t>
            </w:r>
          </w:p>
          <w:p w14:paraId="0A5106CC">
            <w:pPr>
              <w:numPr>
                <w:ilvl w:val="0"/>
                <w:numId w:val="0"/>
              </w:numPr>
              <w:spacing w:before="35" w:line="240" w:lineRule="auto"/>
              <w:ind w:right="572" w:rightChars="0"/>
              <w:jc w:val="left"/>
              <w:rPr>
                <w:rFonts w:hint="eastAsia" w:ascii="宋体" w:hAnsi="宋体" w:eastAsia="宋体" w:cs="宋体"/>
                <w:spacing w:val="5"/>
                <w:sz w:val="21"/>
                <w:szCs w:val="21"/>
                <w:highlight w:val="none"/>
              </w:rPr>
            </w:pPr>
            <w:r>
              <w:rPr>
                <w:rFonts w:hint="eastAsia" w:ascii="宋体" w:hAnsi="宋体" w:eastAsia="宋体" w:cs="宋体"/>
                <w:spacing w:val="5"/>
                <w:sz w:val="21"/>
                <w:szCs w:val="21"/>
                <w:highlight w:val="none"/>
              </w:rPr>
              <w:t>★47、损毁长度: 经向：≤150mm，纬向：≤150mm （依据GB/T  5455-2014标准）</w:t>
            </w:r>
          </w:p>
          <w:p w14:paraId="6BC70F8E">
            <w:pPr>
              <w:numPr>
                <w:ilvl w:val="0"/>
                <w:numId w:val="0"/>
              </w:numPr>
              <w:spacing w:before="35" w:line="240" w:lineRule="auto"/>
              <w:ind w:right="572" w:rightChars="0"/>
              <w:jc w:val="left"/>
              <w:rPr>
                <w:rFonts w:hint="eastAsia" w:ascii="宋体" w:hAnsi="宋体" w:eastAsia="宋体" w:cs="宋体"/>
                <w:spacing w:val="5"/>
                <w:sz w:val="21"/>
                <w:szCs w:val="21"/>
                <w:highlight w:val="none"/>
              </w:rPr>
            </w:pPr>
            <w:r>
              <w:rPr>
                <w:rFonts w:hint="eastAsia" w:ascii="宋体" w:hAnsi="宋体" w:eastAsia="宋体" w:cs="宋体"/>
                <w:spacing w:val="5"/>
                <w:sz w:val="21"/>
                <w:szCs w:val="21"/>
                <w:highlight w:val="none"/>
              </w:rPr>
              <w:t>★48、 续燃时间: 经向: ≤5s，纬向：≤5s （依据GB/T  5455-2014标准）</w:t>
            </w:r>
          </w:p>
          <w:p w14:paraId="7EC68C56">
            <w:pPr>
              <w:numPr>
                <w:ilvl w:val="0"/>
                <w:numId w:val="0"/>
              </w:numPr>
              <w:spacing w:before="35" w:line="240" w:lineRule="auto"/>
              <w:ind w:right="572" w:rightChars="0"/>
              <w:jc w:val="left"/>
              <w:rPr>
                <w:rFonts w:hint="eastAsia" w:ascii="宋体" w:hAnsi="宋体" w:eastAsia="宋体" w:cs="宋体"/>
                <w:spacing w:val="5"/>
                <w:sz w:val="21"/>
                <w:szCs w:val="21"/>
                <w:highlight w:val="none"/>
              </w:rPr>
            </w:pPr>
            <w:r>
              <w:rPr>
                <w:rFonts w:hint="eastAsia" w:ascii="宋体" w:hAnsi="宋体" w:eastAsia="宋体" w:cs="宋体"/>
                <w:spacing w:val="5"/>
                <w:sz w:val="21"/>
                <w:szCs w:val="21"/>
                <w:highlight w:val="none"/>
              </w:rPr>
              <w:t>★49、阴燃时间：经向: ≤15s，纬向：≤15s （依据GB/T  5455-2014标准）</w:t>
            </w:r>
          </w:p>
          <w:p w14:paraId="0CA9082E">
            <w:pPr>
              <w:numPr>
                <w:ilvl w:val="0"/>
                <w:numId w:val="0"/>
              </w:numPr>
              <w:spacing w:before="35" w:line="240" w:lineRule="auto"/>
              <w:ind w:right="572" w:rightChars="0"/>
              <w:jc w:val="left"/>
              <w:rPr>
                <w:rFonts w:hint="eastAsia" w:ascii="宋体" w:hAnsi="宋体" w:eastAsia="宋体" w:cs="宋体"/>
                <w:spacing w:val="5"/>
                <w:sz w:val="21"/>
                <w:szCs w:val="21"/>
                <w:highlight w:val="none"/>
              </w:rPr>
            </w:pPr>
            <w:r>
              <w:rPr>
                <w:rFonts w:hint="eastAsia" w:ascii="宋体" w:hAnsi="宋体" w:eastAsia="宋体" w:cs="宋体"/>
                <w:spacing w:val="5"/>
                <w:sz w:val="21"/>
                <w:szCs w:val="21"/>
                <w:highlight w:val="none"/>
              </w:rPr>
              <w:t>★50、氧指数OI/%：≥32 （依据GB/T  5454-1997标准）</w:t>
            </w:r>
          </w:p>
          <w:p w14:paraId="6927D58D">
            <w:pPr>
              <w:numPr>
                <w:ilvl w:val="0"/>
                <w:numId w:val="0"/>
              </w:numPr>
              <w:spacing w:before="35" w:line="240" w:lineRule="auto"/>
              <w:ind w:right="572" w:rightChars="0"/>
              <w:jc w:val="left"/>
              <w:rPr>
                <w:rFonts w:hint="eastAsia" w:ascii="宋体" w:hAnsi="宋体" w:eastAsia="宋体" w:cs="宋体"/>
                <w:spacing w:val="5"/>
                <w:sz w:val="21"/>
                <w:szCs w:val="21"/>
                <w:highlight w:val="none"/>
              </w:rPr>
            </w:pPr>
            <w:r>
              <w:rPr>
                <w:rFonts w:hint="eastAsia" w:ascii="宋体" w:hAnsi="宋体" w:eastAsia="宋体" w:cs="宋体"/>
                <w:spacing w:val="5"/>
                <w:sz w:val="21"/>
                <w:szCs w:val="21"/>
                <w:highlight w:val="none"/>
              </w:rPr>
              <w:t>51、防霉等级：≤1级（根据 GB/T 24346-2009标准）</w:t>
            </w:r>
          </w:p>
          <w:p w14:paraId="42787932">
            <w:pPr>
              <w:numPr>
                <w:ilvl w:val="0"/>
                <w:numId w:val="0"/>
              </w:numPr>
              <w:spacing w:before="35" w:line="240" w:lineRule="auto"/>
              <w:ind w:right="572" w:rightChars="0"/>
              <w:jc w:val="left"/>
              <w:rPr>
                <w:rFonts w:hint="eastAsia" w:ascii="宋体" w:hAnsi="宋体" w:eastAsia="宋体" w:cs="宋体"/>
                <w:spacing w:val="5"/>
                <w:sz w:val="21"/>
                <w:szCs w:val="21"/>
                <w:highlight w:val="green"/>
              </w:rPr>
            </w:pPr>
            <w:r>
              <w:rPr>
                <w:rFonts w:hint="eastAsia" w:ascii="宋体" w:hAnsi="宋体" w:eastAsia="宋体" w:cs="宋体"/>
                <w:color w:val="auto"/>
                <w:sz w:val="21"/>
                <w:szCs w:val="21"/>
                <w:highlight w:val="magenta"/>
                <w:lang w:val="en-US" w:eastAsia="zh-CN"/>
              </w:rPr>
              <w:t>注：中标后签订合同前中标人需提供有效期内含以上各项技术指标的第三方权威检测机构出具的带有国家计量认证（CMA）标识的检测报告复印件给采购人核验，如不达标，采购人有权拒绝签订合同，并解除中标单位的中标资格。</w:t>
            </w:r>
          </w:p>
          <w:p w14:paraId="18ABE910">
            <w:pPr>
              <w:numPr>
                <w:ilvl w:val="0"/>
                <w:numId w:val="0"/>
              </w:numPr>
              <w:spacing w:before="35" w:line="240" w:lineRule="auto"/>
              <w:ind w:right="572" w:rightChars="0"/>
              <w:jc w:val="left"/>
              <w:rPr>
                <w:rFonts w:hint="eastAsia" w:ascii="宋体" w:hAnsi="宋体" w:eastAsia="宋体" w:cs="宋体"/>
                <w:spacing w:val="5"/>
                <w:sz w:val="21"/>
                <w:szCs w:val="21"/>
                <w:highlight w:val="none"/>
              </w:rPr>
            </w:pPr>
            <w:r>
              <w:rPr>
                <w:rFonts w:hint="eastAsia" w:ascii="宋体" w:hAnsi="宋体" w:eastAsia="宋体" w:cs="宋体"/>
                <w:spacing w:val="5"/>
                <w:sz w:val="21"/>
                <w:szCs w:val="21"/>
                <w:highlight w:val="none"/>
                <w:lang w:val="en-US" w:eastAsia="zh-CN"/>
              </w:rPr>
              <w:t>52、</w:t>
            </w:r>
            <w:r>
              <w:rPr>
                <w:rFonts w:hint="eastAsia" w:ascii="宋体" w:hAnsi="宋体" w:eastAsia="宋体" w:cs="宋体"/>
                <w:spacing w:val="5"/>
                <w:sz w:val="21"/>
                <w:szCs w:val="21"/>
                <w:highlight w:val="none"/>
              </w:rPr>
              <w:t>窗帘布打皱比例1：2</w:t>
            </w:r>
          </w:p>
          <w:p w14:paraId="46CF6D91">
            <w:pPr>
              <w:numPr>
                <w:ilvl w:val="0"/>
                <w:numId w:val="0"/>
              </w:numPr>
              <w:spacing w:before="36" w:line="240" w:lineRule="auto"/>
              <w:ind w:left="40" w:leftChars="0" w:right="534" w:rightChars="0"/>
              <w:jc w:val="left"/>
              <w:rPr>
                <w:rFonts w:hint="eastAsia" w:ascii="宋体" w:hAnsi="宋体" w:eastAsia="宋体" w:cs="宋体"/>
                <w:spacing w:val="5"/>
                <w:sz w:val="21"/>
                <w:szCs w:val="21"/>
                <w:highlight w:val="green"/>
              </w:rPr>
            </w:pPr>
            <w:r>
              <w:rPr>
                <w:rFonts w:hint="eastAsia" w:ascii="宋体" w:hAnsi="宋体" w:eastAsia="宋体" w:cs="宋体"/>
                <w:spacing w:val="5"/>
                <w:sz w:val="21"/>
                <w:szCs w:val="21"/>
                <w:highlight w:val="none"/>
                <w:lang w:val="en-US" w:eastAsia="zh-CN"/>
              </w:rPr>
              <w:t>53、</w:t>
            </w:r>
            <w:r>
              <w:rPr>
                <w:rFonts w:hint="eastAsia" w:ascii="宋体" w:hAnsi="宋体" w:eastAsia="宋体" w:cs="宋体"/>
                <w:spacing w:val="5"/>
                <w:sz w:val="21"/>
                <w:szCs w:val="21"/>
                <w:highlight w:val="none"/>
              </w:rPr>
              <w:t>幅宽(cm)：</w:t>
            </w:r>
            <w:r>
              <w:rPr>
                <w:rFonts w:hint="eastAsia" w:ascii="宋体" w:hAnsi="宋体" w:eastAsia="宋体" w:cs="宋体"/>
                <w:spacing w:val="5"/>
                <w:sz w:val="21"/>
                <w:szCs w:val="21"/>
                <w:highlight w:val="none"/>
                <w:lang w:val="en-US" w:eastAsia="zh-CN"/>
              </w:rPr>
              <w:t>280</w:t>
            </w:r>
            <w:r>
              <w:rPr>
                <w:rFonts w:hint="eastAsia" w:ascii="宋体" w:hAnsi="宋体" w:eastAsia="宋体" w:cs="宋体"/>
                <w:spacing w:val="5"/>
                <w:sz w:val="21"/>
                <w:szCs w:val="21"/>
                <w:highlight w:val="none"/>
              </w:rPr>
              <w:t>±2；</w:t>
            </w:r>
          </w:p>
        </w:tc>
      </w:tr>
      <w:tr w14:paraId="6BE0D8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7" w:hRule="atLeast"/>
          <w:jc w:val="center"/>
        </w:trPr>
        <w:tc>
          <w:tcPr>
            <w:tcW w:w="734" w:type="dxa"/>
            <w:vAlign w:val="center"/>
          </w:tcPr>
          <w:p w14:paraId="5D10852B">
            <w:pPr>
              <w:autoSpaceDE w:val="0"/>
              <w:autoSpaceDN w:val="0"/>
              <w:spacing w:line="240" w:lineRule="auto"/>
              <w:jc w:val="center"/>
              <w:outlineLvl w:val="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w:t>
            </w:r>
          </w:p>
        </w:tc>
        <w:tc>
          <w:tcPr>
            <w:tcW w:w="1166" w:type="dxa"/>
            <w:vAlign w:val="center"/>
          </w:tcPr>
          <w:p w14:paraId="6EBC6C11">
            <w:pPr>
              <w:spacing w:line="240" w:lineRule="auto"/>
              <w:jc w:val="center"/>
              <w:rPr>
                <w:rFonts w:hint="eastAsia" w:ascii="宋体" w:hAnsi="宋体" w:eastAsia="宋体" w:cs="宋体"/>
                <w:kern w:val="0"/>
                <w:sz w:val="21"/>
                <w:szCs w:val="21"/>
                <w:lang w:eastAsia="zh-CN" w:bidi="ar"/>
              </w:rPr>
            </w:pPr>
            <w:r>
              <w:rPr>
                <w:rFonts w:hint="eastAsia" w:ascii="宋体" w:hAnsi="宋体" w:eastAsia="宋体" w:cs="宋体"/>
                <w:kern w:val="0"/>
                <w:sz w:val="21"/>
                <w:szCs w:val="21"/>
                <w:lang w:val="en-US" w:eastAsia="zh-CN"/>
              </w:rPr>
              <w:t>罗马杆、</w:t>
            </w:r>
            <w:r>
              <w:rPr>
                <w:rFonts w:hint="eastAsia" w:ascii="宋体" w:hAnsi="宋体" w:eastAsia="宋体" w:cs="宋体"/>
                <w:sz w:val="21"/>
                <w:szCs w:val="21"/>
              </w:rPr>
              <w:t>窗帘轨道</w:t>
            </w:r>
            <w:r>
              <w:rPr>
                <w:rFonts w:hint="eastAsia" w:ascii="宋体" w:hAnsi="宋体" w:eastAsia="宋体" w:cs="宋体"/>
                <w:kern w:val="0"/>
                <w:sz w:val="21"/>
                <w:szCs w:val="21"/>
                <w:lang w:val="en-US" w:eastAsia="zh-CN"/>
              </w:rPr>
              <w:t>及</w:t>
            </w:r>
            <w:r>
              <w:rPr>
                <w:rFonts w:hint="eastAsia" w:ascii="宋体" w:hAnsi="宋体" w:eastAsia="宋体" w:cs="宋体"/>
                <w:sz w:val="21"/>
                <w:szCs w:val="21"/>
                <w:lang w:val="en-US" w:eastAsia="zh-CN"/>
              </w:rPr>
              <w:t>辅材</w:t>
            </w:r>
          </w:p>
        </w:tc>
        <w:tc>
          <w:tcPr>
            <w:tcW w:w="6586" w:type="dxa"/>
            <w:vAlign w:val="center"/>
          </w:tcPr>
          <w:p w14:paraId="056C72A6">
            <w:pPr>
              <w:pStyle w:val="21"/>
              <w:spacing w:line="240" w:lineRule="auto"/>
              <w:rPr>
                <w:rFonts w:hint="default" w:ascii="宋体" w:hAnsi="宋体" w:eastAsia="宋体" w:cs="宋体"/>
                <w:b/>
                <w:bCs/>
                <w:sz w:val="21"/>
                <w:szCs w:val="21"/>
                <w:highlight w:val="cyan"/>
                <w:lang w:val="en-US" w:eastAsia="zh-CN"/>
              </w:rPr>
            </w:pPr>
            <w:r>
              <w:rPr>
                <w:rFonts w:hint="eastAsia" w:ascii="宋体" w:hAnsi="宋体" w:eastAsia="宋体" w:cs="宋体"/>
                <w:b/>
                <w:bCs/>
                <w:sz w:val="21"/>
                <w:szCs w:val="21"/>
                <w:highlight w:val="cyan"/>
                <w:lang w:val="en-US" w:eastAsia="zh-CN"/>
              </w:rPr>
              <w:t>罗马杆</w:t>
            </w:r>
          </w:p>
          <w:p w14:paraId="35392C93">
            <w:pPr>
              <w:pStyle w:val="21"/>
              <w:spacing w:line="240" w:lineRule="auto"/>
              <w:rPr>
                <w:rFonts w:hint="eastAsia" w:ascii="宋体" w:hAnsi="宋体" w:eastAsia="宋体" w:cs="宋体"/>
                <w:sz w:val="21"/>
                <w:szCs w:val="21"/>
              </w:rPr>
            </w:pPr>
            <w:r>
              <w:rPr>
                <w:rFonts w:hint="eastAsia" w:ascii="宋体" w:hAnsi="宋体" w:eastAsia="宋体" w:cs="宋体"/>
                <w:sz w:val="21"/>
                <w:szCs w:val="21"/>
                <w:lang w:val="en-US" w:eastAsia="zh-CN"/>
              </w:rPr>
              <w:t>1.材</w:t>
            </w:r>
            <w:r>
              <w:rPr>
                <w:rFonts w:hint="eastAsia" w:ascii="宋体" w:hAnsi="宋体" w:eastAsia="宋体" w:cs="宋体"/>
                <w:sz w:val="21"/>
                <w:szCs w:val="21"/>
              </w:rPr>
              <w:t>质：采用高强度铝合金型材；</w:t>
            </w:r>
          </w:p>
          <w:p w14:paraId="3204EF06">
            <w:pPr>
              <w:pStyle w:val="21"/>
              <w:spacing w:line="240" w:lineRule="auto"/>
              <w:rPr>
                <w:rFonts w:hint="eastAsia" w:ascii="宋体" w:hAnsi="宋体" w:eastAsia="宋体" w:cs="宋体"/>
                <w:sz w:val="21"/>
                <w:szCs w:val="21"/>
              </w:rPr>
            </w:pPr>
            <w:r>
              <w:rPr>
                <w:rFonts w:hint="eastAsia" w:ascii="宋体" w:hAnsi="宋体" w:eastAsia="宋体" w:cs="宋体"/>
                <w:sz w:val="21"/>
                <w:szCs w:val="21"/>
              </w:rPr>
              <w:t>2.壁厚：</w:t>
            </w:r>
            <w:r>
              <w:rPr>
                <w:rFonts w:hint="eastAsia" w:ascii="宋体" w:hAnsi="宋体" w:eastAsia="宋体" w:cs="宋体"/>
                <w:sz w:val="21"/>
                <w:szCs w:val="21"/>
                <w:lang w:val="en-US" w:eastAsia="zh-CN"/>
              </w:rPr>
              <w:t>罗马杆</w:t>
            </w:r>
            <w:r>
              <w:rPr>
                <w:rFonts w:hint="eastAsia" w:ascii="宋体" w:hAnsi="宋体" w:eastAsia="宋体" w:cs="宋体"/>
                <w:sz w:val="21"/>
                <w:szCs w:val="21"/>
              </w:rPr>
              <w:t>壁厚≥</w:t>
            </w:r>
            <w:r>
              <w:rPr>
                <w:rFonts w:hint="eastAsia" w:ascii="宋体" w:hAnsi="宋体" w:eastAsia="宋体" w:cs="宋体"/>
                <w:sz w:val="21"/>
                <w:szCs w:val="21"/>
                <w:lang w:val="en-US" w:eastAsia="zh-CN"/>
              </w:rPr>
              <w:t>2</w:t>
            </w:r>
            <w:r>
              <w:rPr>
                <w:rFonts w:hint="eastAsia" w:ascii="宋体" w:hAnsi="宋体" w:eastAsia="宋体" w:cs="宋体"/>
                <w:sz w:val="21"/>
                <w:szCs w:val="21"/>
              </w:rPr>
              <w:t>mm；</w:t>
            </w:r>
          </w:p>
          <w:p w14:paraId="01724627">
            <w:pPr>
              <w:pStyle w:val="21"/>
              <w:spacing w:line="240" w:lineRule="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3外接圆直径</w:t>
            </w:r>
            <w:r>
              <w:rPr>
                <w:rFonts w:hint="eastAsia" w:ascii="宋体" w:hAnsi="宋体" w:eastAsia="宋体" w:cs="宋体"/>
                <w:sz w:val="21"/>
                <w:szCs w:val="21"/>
              </w:rPr>
              <w:t>≥</w:t>
            </w:r>
            <w:r>
              <w:rPr>
                <w:rFonts w:hint="eastAsia" w:ascii="宋体" w:hAnsi="宋体" w:eastAsia="宋体" w:cs="宋体"/>
                <w:sz w:val="21"/>
                <w:szCs w:val="21"/>
                <w:lang w:val="en-US" w:eastAsia="zh-CN"/>
              </w:rPr>
              <w:t>27.39mm</w:t>
            </w:r>
          </w:p>
          <w:p w14:paraId="4128BC04">
            <w:pPr>
              <w:pStyle w:val="21"/>
              <w:spacing w:line="240" w:lineRule="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4内径</w:t>
            </w:r>
            <w:r>
              <w:rPr>
                <w:rFonts w:hint="eastAsia" w:ascii="宋体" w:hAnsi="宋体" w:eastAsia="宋体" w:cs="宋体"/>
                <w:sz w:val="21"/>
                <w:szCs w:val="21"/>
              </w:rPr>
              <w:t>≥</w:t>
            </w:r>
            <w:r>
              <w:rPr>
                <w:rFonts w:hint="eastAsia" w:ascii="宋体" w:hAnsi="宋体" w:eastAsia="宋体" w:cs="宋体"/>
                <w:sz w:val="21"/>
                <w:szCs w:val="21"/>
                <w:lang w:val="en-US" w:eastAsia="zh-CN"/>
              </w:rPr>
              <w:t>25.32mm</w:t>
            </w:r>
          </w:p>
          <w:p w14:paraId="14D47A95">
            <w:pPr>
              <w:pStyle w:val="21"/>
              <w:spacing w:line="240" w:lineRule="auto"/>
              <w:rPr>
                <w:rFonts w:hint="eastAsia" w:ascii="宋体" w:hAnsi="宋体" w:eastAsia="宋体" w:cs="宋体"/>
                <w:sz w:val="21"/>
                <w:szCs w:val="21"/>
              </w:rPr>
            </w:pPr>
            <w:r>
              <w:rPr>
                <w:rFonts w:hint="eastAsia" w:ascii="宋体" w:hAnsi="宋体" w:eastAsia="宋体" w:cs="宋体"/>
                <w:sz w:val="21"/>
                <w:szCs w:val="21"/>
                <w:lang w:val="en-US" w:eastAsia="zh-CN"/>
              </w:rPr>
              <w:t>5抗拉强度</w:t>
            </w:r>
            <w:r>
              <w:rPr>
                <w:rFonts w:hint="eastAsia" w:ascii="宋体" w:hAnsi="宋体" w:eastAsia="宋体" w:cs="宋体"/>
                <w:sz w:val="21"/>
                <w:szCs w:val="21"/>
              </w:rPr>
              <w:t>：≥</w:t>
            </w:r>
            <w:r>
              <w:rPr>
                <w:rFonts w:hint="eastAsia" w:ascii="宋体" w:hAnsi="宋体" w:eastAsia="宋体" w:cs="宋体"/>
                <w:sz w:val="21"/>
                <w:szCs w:val="21"/>
                <w:lang w:val="en-US" w:eastAsia="zh-CN"/>
              </w:rPr>
              <w:t>175MPa</w:t>
            </w:r>
            <w:r>
              <w:rPr>
                <w:rFonts w:hint="eastAsia" w:ascii="宋体" w:hAnsi="宋体" w:eastAsia="宋体" w:cs="宋体"/>
                <w:sz w:val="21"/>
                <w:szCs w:val="21"/>
              </w:rPr>
              <w:t>；</w:t>
            </w:r>
          </w:p>
          <w:p w14:paraId="339B2DD1">
            <w:pPr>
              <w:pStyle w:val="21"/>
              <w:spacing w:line="240" w:lineRule="auto"/>
              <w:rPr>
                <w:rFonts w:hint="eastAsia" w:ascii="宋体" w:hAnsi="宋体" w:eastAsia="宋体" w:cs="宋体"/>
                <w:sz w:val="21"/>
                <w:szCs w:val="21"/>
              </w:rPr>
            </w:pPr>
            <w:r>
              <w:rPr>
                <w:rFonts w:hint="eastAsia" w:ascii="宋体" w:hAnsi="宋体" w:eastAsia="宋体" w:cs="宋体"/>
                <w:sz w:val="21"/>
                <w:szCs w:val="21"/>
                <w:lang w:val="en-US" w:eastAsia="zh-CN"/>
              </w:rPr>
              <w:t>6规定非比例延申强度</w:t>
            </w:r>
            <w:r>
              <w:rPr>
                <w:rFonts w:hint="eastAsia" w:ascii="宋体" w:hAnsi="宋体" w:eastAsia="宋体" w:cs="宋体"/>
                <w:sz w:val="21"/>
                <w:szCs w:val="21"/>
              </w:rPr>
              <w:t>≥</w:t>
            </w:r>
            <w:r>
              <w:rPr>
                <w:rFonts w:hint="eastAsia" w:ascii="宋体" w:hAnsi="宋体" w:eastAsia="宋体" w:cs="宋体"/>
                <w:sz w:val="21"/>
                <w:szCs w:val="21"/>
                <w:lang w:val="en-US" w:eastAsia="zh-CN"/>
              </w:rPr>
              <w:t>130MPa</w:t>
            </w:r>
            <w:r>
              <w:rPr>
                <w:rFonts w:hint="eastAsia" w:ascii="宋体" w:hAnsi="宋体" w:eastAsia="宋体" w:cs="宋体"/>
                <w:sz w:val="21"/>
                <w:szCs w:val="21"/>
              </w:rPr>
              <w:t>；</w:t>
            </w:r>
          </w:p>
          <w:p w14:paraId="24D09B1B">
            <w:pPr>
              <w:pStyle w:val="21"/>
              <w:spacing w:line="240" w:lineRule="auto"/>
              <w:rPr>
                <w:rFonts w:hint="eastAsia" w:ascii="宋体" w:hAnsi="宋体" w:eastAsia="宋体" w:cs="宋体"/>
                <w:sz w:val="21"/>
                <w:szCs w:val="21"/>
              </w:rPr>
            </w:pPr>
            <w:r>
              <w:rPr>
                <w:rFonts w:hint="eastAsia" w:ascii="宋体" w:hAnsi="宋体" w:eastAsia="宋体" w:cs="宋体"/>
                <w:sz w:val="21"/>
                <w:szCs w:val="21"/>
                <w:lang w:val="en-US" w:eastAsia="zh-CN"/>
              </w:rPr>
              <w:t>7</w:t>
            </w:r>
            <w:r>
              <w:rPr>
                <w:rFonts w:hint="eastAsia" w:ascii="宋体" w:hAnsi="宋体" w:eastAsia="宋体" w:cs="宋体"/>
                <w:sz w:val="21"/>
                <w:szCs w:val="21"/>
              </w:rPr>
              <w:t>.规定非比例延伸强度≥190Mpa；</w:t>
            </w:r>
          </w:p>
          <w:p w14:paraId="040F5E86">
            <w:pPr>
              <w:spacing w:line="240" w:lineRule="auto"/>
              <w:rPr>
                <w:rFonts w:hint="eastAsia" w:ascii="宋体" w:hAnsi="宋体" w:eastAsia="宋体" w:cs="宋体"/>
                <w:sz w:val="21"/>
                <w:szCs w:val="21"/>
              </w:rPr>
            </w:pPr>
            <w:r>
              <w:rPr>
                <w:rFonts w:hint="eastAsia" w:ascii="宋体" w:hAnsi="宋体" w:eastAsia="宋体" w:cs="宋体"/>
                <w:sz w:val="21"/>
                <w:szCs w:val="21"/>
                <w:lang w:val="en-US" w:eastAsia="zh-CN"/>
              </w:rPr>
              <w:t>8</w:t>
            </w:r>
            <w:r>
              <w:rPr>
                <w:rFonts w:hint="eastAsia" w:ascii="宋体" w:hAnsi="宋体" w:eastAsia="宋体" w:cs="宋体"/>
                <w:sz w:val="21"/>
                <w:szCs w:val="21"/>
              </w:rPr>
              <w:t>.</w:t>
            </w:r>
            <w:r>
              <w:rPr>
                <w:rFonts w:hint="eastAsia" w:ascii="宋体" w:hAnsi="宋体" w:eastAsia="宋体" w:cs="宋体"/>
                <w:sz w:val="21"/>
                <w:szCs w:val="21"/>
                <w:lang w:val="en-US" w:eastAsia="zh-CN"/>
              </w:rPr>
              <w:t>罗马杆</w:t>
            </w:r>
            <w:r>
              <w:rPr>
                <w:rFonts w:hint="eastAsia" w:ascii="宋体" w:hAnsi="宋体" w:eastAsia="宋体" w:cs="宋体"/>
                <w:sz w:val="21"/>
                <w:szCs w:val="21"/>
              </w:rPr>
              <w:t>承重：跨距300mm承重≥40kg，未变形；</w:t>
            </w:r>
          </w:p>
          <w:p w14:paraId="5F1EBEAC">
            <w:pPr>
              <w:spacing w:line="240" w:lineRule="auto"/>
              <w:rPr>
                <w:rFonts w:hint="eastAsia" w:ascii="宋体" w:hAnsi="宋体" w:eastAsia="宋体" w:cs="宋体"/>
                <w:sz w:val="21"/>
                <w:szCs w:val="21"/>
                <w:highlight w:val="yellow"/>
              </w:rPr>
            </w:pPr>
            <w:r>
              <w:rPr>
                <w:rFonts w:hint="eastAsia" w:ascii="宋体" w:hAnsi="宋体" w:eastAsia="宋体" w:cs="宋体"/>
                <w:sz w:val="21"/>
                <w:szCs w:val="21"/>
                <w:lang w:val="en-US" w:eastAsia="zh-CN"/>
              </w:rPr>
              <w:t>9</w:t>
            </w:r>
            <w:r>
              <w:rPr>
                <w:rFonts w:hint="eastAsia" w:ascii="宋体" w:hAnsi="宋体" w:eastAsia="宋体" w:cs="宋体"/>
                <w:sz w:val="21"/>
                <w:szCs w:val="21"/>
                <w:highlight w:val="none"/>
              </w:rPr>
              <w:t>.封口承重：承重≥20KG，未变形。</w:t>
            </w:r>
          </w:p>
          <w:p w14:paraId="5BDA2222">
            <w:pPr>
              <w:spacing w:line="240" w:lineRule="auto"/>
              <w:rPr>
                <w:rFonts w:hint="eastAsia" w:ascii="宋体" w:hAnsi="宋体" w:eastAsia="宋体" w:cs="宋体"/>
                <w:sz w:val="21"/>
                <w:szCs w:val="21"/>
              </w:rPr>
            </w:pPr>
            <w:r>
              <w:rPr>
                <w:rFonts w:hint="eastAsia" w:ascii="宋体" w:hAnsi="宋体" w:eastAsia="宋体" w:cs="宋体"/>
                <w:sz w:val="21"/>
                <w:szCs w:val="21"/>
                <w:lang w:val="en-US" w:eastAsia="zh-CN"/>
              </w:rPr>
              <w:t>10</w:t>
            </w:r>
            <w:r>
              <w:rPr>
                <w:rFonts w:hint="eastAsia" w:ascii="宋体" w:hAnsi="宋体" w:eastAsia="宋体" w:cs="宋体"/>
                <w:sz w:val="21"/>
                <w:szCs w:val="21"/>
              </w:rPr>
              <w:t>.外观质量：型材表面清洁，无裂缝、鼓泡等可视缺陷；</w:t>
            </w:r>
          </w:p>
          <w:p w14:paraId="42CAB93C">
            <w:pPr>
              <w:spacing w:line="240" w:lineRule="auto"/>
              <w:rPr>
                <w:rFonts w:hint="eastAsia" w:ascii="宋体" w:hAnsi="宋体" w:eastAsia="宋体" w:cs="宋体"/>
                <w:sz w:val="21"/>
                <w:szCs w:val="21"/>
              </w:rPr>
            </w:pPr>
            <w:r>
              <w:rPr>
                <w:rFonts w:hint="eastAsia" w:ascii="宋体" w:hAnsi="宋体" w:eastAsia="宋体" w:cs="宋体"/>
                <w:sz w:val="21"/>
                <w:szCs w:val="21"/>
                <w:lang w:val="en-US" w:eastAsia="zh-CN"/>
              </w:rPr>
              <w:t>11</w:t>
            </w:r>
            <w:r>
              <w:rPr>
                <w:rFonts w:hint="eastAsia" w:ascii="宋体" w:hAnsi="宋体" w:eastAsia="宋体" w:cs="宋体"/>
                <w:sz w:val="21"/>
                <w:szCs w:val="21"/>
              </w:rPr>
              <w:t>.耐盐雾腐蚀性（48H）≥9.5级；</w:t>
            </w:r>
          </w:p>
          <w:p w14:paraId="104677AE">
            <w:pPr>
              <w:pStyle w:val="21"/>
              <w:spacing w:line="240" w:lineRule="auto"/>
              <w:rPr>
                <w:rFonts w:hint="eastAsia" w:ascii="宋体" w:hAnsi="宋体" w:eastAsia="宋体" w:cs="宋体"/>
                <w:sz w:val="21"/>
                <w:szCs w:val="21"/>
              </w:rPr>
            </w:pPr>
            <w:r>
              <w:rPr>
                <w:rFonts w:hint="eastAsia" w:ascii="宋体" w:hAnsi="宋体" w:eastAsia="宋体" w:cs="宋体"/>
                <w:sz w:val="21"/>
                <w:szCs w:val="21"/>
                <w:lang w:val="en-US" w:eastAsia="zh-CN"/>
              </w:rPr>
              <w:t>12</w:t>
            </w:r>
            <w:r>
              <w:rPr>
                <w:rFonts w:hint="eastAsia" w:ascii="宋体" w:hAnsi="宋体" w:eastAsia="宋体" w:cs="宋体"/>
                <w:sz w:val="21"/>
                <w:szCs w:val="21"/>
              </w:rPr>
              <w:t>.耐碱性（24H）≥10级</w:t>
            </w:r>
          </w:p>
          <w:p w14:paraId="567A9722">
            <w:pPr>
              <w:pStyle w:val="21"/>
              <w:spacing w:line="240" w:lineRule="auto"/>
              <w:rPr>
                <w:rFonts w:hint="eastAsia" w:ascii="宋体" w:hAnsi="宋体" w:eastAsia="宋体" w:cs="宋体"/>
                <w:b/>
                <w:bCs/>
                <w:sz w:val="21"/>
                <w:szCs w:val="21"/>
                <w:highlight w:val="cyan"/>
              </w:rPr>
            </w:pPr>
            <w:r>
              <w:rPr>
                <w:rFonts w:hint="eastAsia" w:ascii="宋体" w:hAnsi="宋体" w:eastAsia="宋体" w:cs="宋体"/>
                <w:b/>
                <w:bCs/>
                <w:sz w:val="21"/>
                <w:szCs w:val="21"/>
                <w:highlight w:val="cyan"/>
              </w:rPr>
              <w:t>窗帘轨道</w:t>
            </w:r>
          </w:p>
          <w:p w14:paraId="051D20C4">
            <w:pPr>
              <w:pStyle w:val="21"/>
              <w:spacing w:line="240" w:lineRule="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铝合金轨道基础技术参数要求：</w:t>
            </w:r>
          </w:p>
          <w:p w14:paraId="200392D1">
            <w:pPr>
              <w:pStyle w:val="21"/>
              <w:spacing w:line="240" w:lineRule="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1.化学成分（%）Mg、Fe、Mn、Cu、Zn、Ti、Si、Cr等成分符合标准要求；</w:t>
            </w:r>
          </w:p>
          <w:p w14:paraId="126387A5">
            <w:pPr>
              <w:pStyle w:val="21"/>
              <w:spacing w:line="240" w:lineRule="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★2.壁厚：≥3.0mm；</w:t>
            </w:r>
          </w:p>
          <w:p w14:paraId="0ED727CF">
            <w:pPr>
              <w:pStyle w:val="21"/>
              <w:spacing w:line="240" w:lineRule="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3.抗拉强度：≥230MPa；</w:t>
            </w:r>
          </w:p>
          <w:p w14:paraId="729D1272">
            <w:pPr>
              <w:pStyle w:val="21"/>
              <w:spacing w:line="240" w:lineRule="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★4.Pb铅：≤10mg/kg；</w:t>
            </w:r>
          </w:p>
          <w:p w14:paraId="09A3C957">
            <w:pPr>
              <w:pStyle w:val="21"/>
              <w:spacing w:line="240" w:lineRule="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5.断后伸长率（%）≥11；</w:t>
            </w:r>
          </w:p>
          <w:p w14:paraId="74DC79E8">
            <w:pPr>
              <w:pStyle w:val="21"/>
              <w:spacing w:line="240" w:lineRule="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6.滑轮承重≥50kg；</w:t>
            </w:r>
          </w:p>
          <w:p w14:paraId="2D04F32A">
            <w:pPr>
              <w:pStyle w:val="21"/>
              <w:spacing w:line="240" w:lineRule="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★7.米克重：≥600g/m；</w:t>
            </w:r>
          </w:p>
          <w:p w14:paraId="2CE8D476">
            <w:pPr>
              <w:pStyle w:val="21"/>
              <w:spacing w:line="240" w:lineRule="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8.韦氏硬度HW ≥13；</w:t>
            </w:r>
          </w:p>
          <w:p w14:paraId="051652B8">
            <w:pPr>
              <w:pStyle w:val="21"/>
              <w:spacing w:line="240" w:lineRule="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9.维氏硬度HV5 ≥70；</w:t>
            </w:r>
          </w:p>
          <w:p w14:paraId="2AF88670">
            <w:pPr>
              <w:pStyle w:val="21"/>
              <w:spacing w:line="240" w:lineRule="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★10.耐盐雾腐蚀性能（240h）≥10级；</w:t>
            </w:r>
          </w:p>
          <w:p w14:paraId="1D10026C">
            <w:pPr>
              <w:pStyle w:val="21"/>
              <w:spacing w:line="240" w:lineRule="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11.局部膜厚μm ≥17；</w:t>
            </w:r>
          </w:p>
          <w:p w14:paraId="3E863E6F">
            <w:pPr>
              <w:pStyle w:val="21"/>
              <w:spacing w:line="240" w:lineRule="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★12.Cr六价铬：≤10mg/kg；</w:t>
            </w:r>
          </w:p>
          <w:p w14:paraId="727F3B41">
            <w:pPr>
              <w:pStyle w:val="21"/>
              <w:spacing w:line="240" w:lineRule="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13.耐碱性≥10级</w:t>
            </w:r>
          </w:p>
          <w:p w14:paraId="3120BEC4">
            <w:pPr>
              <w:widowControl/>
              <w:spacing w:line="240" w:lineRule="auto"/>
              <w:jc w:val="left"/>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14.耐沸水性（24h）:附着性0级；</w:t>
            </w:r>
          </w:p>
          <w:p w14:paraId="126B7C44">
            <w:pPr>
              <w:widowControl/>
              <w:spacing w:line="240" w:lineRule="auto"/>
              <w:jc w:val="left"/>
              <w:rPr>
                <w:rFonts w:hint="default"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15、滑轮挂钩</w:t>
            </w:r>
          </w:p>
          <w:p w14:paraId="6BC619F7">
            <w:pPr>
              <w:widowControl/>
              <w:spacing w:line="240" w:lineRule="auto"/>
              <w:jc w:val="left"/>
              <w:rPr>
                <w:rFonts w:hint="eastAsia" w:ascii="宋体" w:hAnsi="宋体" w:eastAsia="宋体" w:cs="宋体"/>
                <w:b/>
                <w:bCs/>
                <w:sz w:val="21"/>
                <w:szCs w:val="21"/>
                <w:lang w:val="en-US" w:eastAsia="zh-CN"/>
              </w:rPr>
            </w:pPr>
          </w:p>
          <w:p w14:paraId="0FF1D1E5">
            <w:pPr>
              <w:widowControl/>
              <w:spacing w:line="240" w:lineRule="auto"/>
              <w:jc w:val="left"/>
              <w:rPr>
                <w:rFonts w:hint="default" w:ascii="宋体" w:hAnsi="宋体" w:eastAsia="宋体" w:cs="宋体"/>
                <w:b/>
                <w:bCs/>
                <w:sz w:val="21"/>
                <w:szCs w:val="21"/>
                <w:lang w:val="en-US" w:eastAsia="zh-CN"/>
              </w:rPr>
            </w:pPr>
            <w:r>
              <w:rPr>
                <w:rFonts w:hint="eastAsia" w:ascii="宋体" w:hAnsi="宋体" w:eastAsia="宋体" w:cs="宋体"/>
                <w:b/>
                <w:bCs/>
                <w:sz w:val="21"/>
                <w:szCs w:val="21"/>
                <w:lang w:val="en-US" w:eastAsia="zh-CN"/>
              </w:rPr>
              <w:t>部分辅材参数要求：</w:t>
            </w:r>
          </w:p>
          <w:p w14:paraId="168EDDB8">
            <w:pPr>
              <w:widowControl/>
              <w:spacing w:line="240" w:lineRule="auto"/>
              <w:jc w:val="left"/>
              <w:rPr>
                <w:rFonts w:hint="eastAsia" w:ascii="宋体" w:hAnsi="宋体" w:eastAsia="宋体" w:cs="宋体"/>
                <w:kern w:val="0"/>
                <w:sz w:val="21"/>
                <w:szCs w:val="21"/>
                <w:lang w:bidi="ar"/>
              </w:rPr>
            </w:pPr>
            <w:r>
              <w:rPr>
                <w:rFonts w:hint="eastAsia" w:ascii="宋体" w:hAnsi="宋体" w:eastAsia="宋体" w:cs="宋体"/>
                <w:kern w:val="0"/>
                <w:sz w:val="21"/>
                <w:szCs w:val="21"/>
                <w:lang w:bidi="ar"/>
              </w:rPr>
              <w:t>1.壹字钩：不锈钢材质，强度、硬度高，不易折弯、变形。</w:t>
            </w:r>
          </w:p>
          <w:p w14:paraId="6B0DC882">
            <w:pPr>
              <w:pStyle w:val="21"/>
              <w:spacing w:line="240" w:lineRule="auto"/>
              <w:rPr>
                <w:rFonts w:hint="eastAsia" w:ascii="宋体" w:hAnsi="宋体" w:eastAsia="宋体" w:cs="宋体"/>
                <w:kern w:val="0"/>
                <w:sz w:val="21"/>
                <w:szCs w:val="21"/>
                <w:lang w:bidi="ar"/>
              </w:rPr>
            </w:pPr>
            <w:r>
              <w:rPr>
                <w:rFonts w:hint="eastAsia" w:ascii="宋体" w:hAnsi="宋体" w:eastAsia="宋体" w:cs="宋体"/>
                <w:kern w:val="0"/>
                <w:sz w:val="21"/>
                <w:szCs w:val="21"/>
                <w:lang w:bidi="ar"/>
              </w:rPr>
              <w:t>2.布带成份：100丙纶；克重量≥18g/m；断裂强力：经向≥200N；防紫外性能：UPF≥8，T(UVA)AV≤10%，(UVB)AV≤13%；PH值：3-9级；甲醛含量≤20mg/kg；可分解致癌芳香胺燃料≤5mg/kg；异味：无异味；可萃取的重金属（汞）&lt;0.02mg/kg。</w:t>
            </w:r>
          </w:p>
          <w:p w14:paraId="420AD8D2">
            <w:pPr>
              <w:widowControl w:val="0"/>
              <w:numPr>
                <w:ilvl w:val="0"/>
                <w:numId w:val="0"/>
              </w:numPr>
              <w:jc w:val="both"/>
              <w:rPr>
                <w:rFonts w:hint="eastAsia"/>
                <w:lang w:val="en-US" w:eastAsia="zh-CN"/>
              </w:rPr>
            </w:pPr>
          </w:p>
          <w:p w14:paraId="4DF87DA8">
            <w:pPr>
              <w:widowControl w:val="0"/>
              <w:numPr>
                <w:ilvl w:val="0"/>
                <w:numId w:val="0"/>
              </w:numPr>
              <w:jc w:val="both"/>
              <w:rPr>
                <w:rFonts w:hint="eastAsia"/>
                <w:b/>
                <w:bCs/>
                <w:highlight w:val="yellow"/>
                <w:lang w:val="en-US" w:eastAsia="zh-CN"/>
              </w:rPr>
            </w:pPr>
            <w:r>
              <w:rPr>
                <w:rFonts w:hint="eastAsia"/>
                <w:b/>
                <w:bCs/>
                <w:highlight w:val="yellow"/>
                <w:lang w:val="en-US" w:eastAsia="zh-CN"/>
              </w:rPr>
              <w:t>特别说明：</w:t>
            </w:r>
          </w:p>
          <w:p w14:paraId="41ADA094">
            <w:pPr>
              <w:widowControl w:val="0"/>
              <w:numPr>
                <w:ilvl w:val="0"/>
                <w:numId w:val="0"/>
              </w:numPr>
              <w:jc w:val="both"/>
              <w:rPr>
                <w:rFonts w:hint="eastAsia" w:ascii="宋体" w:hAnsi="宋体" w:eastAsia="宋体" w:cs="宋体"/>
                <w:b/>
                <w:bCs/>
                <w:sz w:val="21"/>
                <w:szCs w:val="21"/>
                <w:highlight w:val="yellow"/>
                <w:lang w:val="en-US" w:eastAsia="zh-CN"/>
              </w:rPr>
            </w:pPr>
            <w:r>
              <w:rPr>
                <w:rFonts w:hint="eastAsia"/>
                <w:b/>
                <w:bCs/>
                <w:highlight w:val="yellow"/>
                <w:lang w:val="en-US" w:eastAsia="zh-CN"/>
              </w:rPr>
              <w:t>1、辅材包含但不限于：罗马杆、窗帘轨道、底座、小堵头或封口、挂环、一子钩、窗帘挂钩布、窗帘捆绑带等其他未列明辅材，</w:t>
            </w:r>
            <w:r>
              <w:rPr>
                <w:rFonts w:hint="eastAsia" w:ascii="宋体" w:hAnsi="宋体" w:eastAsia="宋体" w:cs="宋体"/>
                <w:b/>
                <w:bCs/>
                <w:sz w:val="21"/>
                <w:szCs w:val="21"/>
                <w:highlight w:val="yellow"/>
                <w:lang w:val="en-US" w:eastAsia="zh-CN"/>
              </w:rPr>
              <w:t>具体数量由各供应商根据供货需求和采购人实际要求综合考虑进行配置。</w:t>
            </w:r>
          </w:p>
          <w:p w14:paraId="736522FD">
            <w:pPr>
              <w:widowControl w:val="0"/>
              <w:numPr>
                <w:ilvl w:val="0"/>
                <w:numId w:val="0"/>
              </w:numPr>
              <w:jc w:val="both"/>
              <w:rPr>
                <w:rFonts w:hint="default"/>
                <w:lang w:val="en-US"/>
              </w:rPr>
            </w:pPr>
            <w:r>
              <w:rPr>
                <w:rFonts w:hint="eastAsia" w:ascii="宋体" w:hAnsi="宋体" w:eastAsia="宋体" w:cs="宋体"/>
                <w:b/>
                <w:bCs/>
                <w:sz w:val="21"/>
                <w:szCs w:val="21"/>
                <w:highlight w:val="yellow"/>
                <w:lang w:val="en-US" w:eastAsia="zh-CN"/>
              </w:rPr>
              <w:t>2、辅材和主材的色系花纹等搭配要协调。</w:t>
            </w:r>
          </w:p>
        </w:tc>
      </w:tr>
      <w:tr w14:paraId="4709BE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7" w:hRule="atLeast"/>
          <w:jc w:val="center"/>
        </w:trPr>
        <w:tc>
          <w:tcPr>
            <w:tcW w:w="734" w:type="dxa"/>
            <w:vAlign w:val="center"/>
          </w:tcPr>
          <w:p w14:paraId="79A264BA">
            <w:pPr>
              <w:autoSpaceDE w:val="0"/>
              <w:autoSpaceDN w:val="0"/>
              <w:spacing w:line="240" w:lineRule="auto"/>
              <w:jc w:val="center"/>
              <w:outlineLvl w:val="0"/>
              <w:rPr>
                <w:rFonts w:hint="eastAsia" w:ascii="宋体" w:hAnsi="宋体" w:eastAsia="宋体" w:cs="宋体"/>
                <w:sz w:val="21"/>
                <w:szCs w:val="21"/>
              </w:rPr>
            </w:pPr>
          </w:p>
          <w:p w14:paraId="5231A50B">
            <w:pPr>
              <w:autoSpaceDE w:val="0"/>
              <w:autoSpaceDN w:val="0"/>
              <w:spacing w:line="240" w:lineRule="auto"/>
              <w:jc w:val="center"/>
              <w:outlineLvl w:val="0"/>
              <w:rPr>
                <w:rFonts w:hint="eastAsia" w:ascii="宋体" w:hAnsi="宋体" w:eastAsia="宋体" w:cs="宋体"/>
                <w:sz w:val="21"/>
                <w:szCs w:val="21"/>
              </w:rPr>
            </w:pPr>
          </w:p>
          <w:p w14:paraId="3CEE8EDE">
            <w:pPr>
              <w:autoSpaceDE w:val="0"/>
              <w:autoSpaceDN w:val="0"/>
              <w:spacing w:line="240" w:lineRule="auto"/>
              <w:jc w:val="center"/>
              <w:outlineLvl w:val="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w:t>
            </w:r>
          </w:p>
        </w:tc>
        <w:tc>
          <w:tcPr>
            <w:tcW w:w="1166" w:type="dxa"/>
            <w:vAlign w:val="center"/>
          </w:tcPr>
          <w:p w14:paraId="6CA64CA3">
            <w:pPr>
              <w:widowControl/>
              <w:spacing w:line="240" w:lineRule="auto"/>
              <w:jc w:val="center"/>
              <w:rPr>
                <w:rFonts w:hint="eastAsia" w:ascii="宋体" w:hAnsi="宋体" w:eastAsia="宋体" w:cs="宋体"/>
                <w:kern w:val="0"/>
                <w:sz w:val="21"/>
                <w:szCs w:val="21"/>
                <w:lang w:val="en-US" w:eastAsia="zh-CN"/>
              </w:rPr>
            </w:pPr>
            <w:r>
              <w:rPr>
                <w:rFonts w:hint="eastAsia" w:ascii="宋体" w:hAnsi="宋体" w:eastAsia="宋体" w:cs="宋体"/>
                <w:color w:val="000000"/>
                <w:kern w:val="0"/>
                <w:sz w:val="21"/>
                <w:szCs w:val="21"/>
                <w:lang w:val="en-US" w:eastAsia="zh-CN"/>
              </w:rPr>
              <w:t>阻燃卷帘</w:t>
            </w:r>
          </w:p>
        </w:tc>
        <w:tc>
          <w:tcPr>
            <w:tcW w:w="6586" w:type="dxa"/>
            <w:vAlign w:val="center"/>
          </w:tcPr>
          <w:p w14:paraId="395E472E">
            <w:pPr>
              <w:spacing w:line="240" w:lineRule="auto"/>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1、成分：100%聚酯纤维；净单位面积质量≥206g/？O （依据GB/T  4669-2008标准）</w:t>
            </w:r>
          </w:p>
          <w:p w14:paraId="309FCA0E">
            <w:pPr>
              <w:spacing w:line="240" w:lineRule="auto"/>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2、阻燃性能：水洗50次后仍符合GB8624-2012中B1级要求</w:t>
            </w:r>
          </w:p>
          <w:p w14:paraId="43EE5C34">
            <w:pPr>
              <w:spacing w:line="240" w:lineRule="auto"/>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 损毁长度: 经向：≤150mm，纬向：≤150mm （依据GB/T  5455-2014标准）</w:t>
            </w:r>
          </w:p>
          <w:p w14:paraId="570949A4">
            <w:pPr>
              <w:spacing w:line="240" w:lineRule="auto"/>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 续燃时间: 经向: ≤5s，纬向：≤5s （依据GB/T  5455-2014标准）</w:t>
            </w:r>
          </w:p>
          <w:p w14:paraId="5BD38587">
            <w:pPr>
              <w:spacing w:line="240" w:lineRule="auto"/>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 阴燃时间：经向: ≤15s，纬向：≤15s （依据GB/T  5455-2014标准）</w:t>
            </w:r>
          </w:p>
          <w:p w14:paraId="1F6B26C9">
            <w:pPr>
              <w:spacing w:line="240" w:lineRule="auto"/>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 氧指数OI/%：≥32 （依据GB/T  5454-1997标准）</w:t>
            </w:r>
          </w:p>
          <w:p w14:paraId="73988A98">
            <w:pPr>
              <w:spacing w:line="240" w:lineRule="auto"/>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 甲醛含量：未检出 （依据GB/T  2912.1-2009标准）</w:t>
            </w:r>
          </w:p>
          <w:p w14:paraId="0CC70188">
            <w:pPr>
              <w:spacing w:line="240" w:lineRule="auto"/>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★8、PH值：4.0-8.5  （依据GB/T  7573-2009标准）</w:t>
            </w:r>
          </w:p>
          <w:p w14:paraId="57F46871">
            <w:pPr>
              <w:spacing w:line="240" w:lineRule="auto"/>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★9、可分解致癌芳香胺染料：未检出 （依据GB/T  17592-2011标准）</w:t>
            </w:r>
          </w:p>
          <w:p w14:paraId="21491F9D">
            <w:pPr>
              <w:spacing w:line="240" w:lineRule="auto"/>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★10、异味：无 （依据GB/T  18401-2010标准）</w:t>
            </w:r>
          </w:p>
          <w:p w14:paraId="18684D0B">
            <w:pPr>
              <w:spacing w:line="240" w:lineRule="auto"/>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11、耐皂洗色牢度：变色≥4级，沾色≥4级（依据GB/T  3921-2008标准）</w:t>
            </w:r>
          </w:p>
          <w:p w14:paraId="04780C7C">
            <w:pPr>
              <w:spacing w:line="240" w:lineRule="auto"/>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12、耐水色牢度：变色≥4级，沾色≥4级（依据GB/T  5713-2013标准）</w:t>
            </w:r>
          </w:p>
          <w:p w14:paraId="351034A0">
            <w:pPr>
              <w:spacing w:line="240" w:lineRule="auto"/>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13、耐干洗色牢度：变色≥4级（依据GB/T  5711-2015标准）</w:t>
            </w:r>
          </w:p>
          <w:p w14:paraId="5B549ACD">
            <w:pPr>
              <w:spacing w:line="240" w:lineRule="auto"/>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14、耐酸汗渍色牢度：变色≥4级，沾色≥4级（依据GB/T  3922-2013标准）</w:t>
            </w:r>
          </w:p>
          <w:p w14:paraId="5D9B07CE">
            <w:pPr>
              <w:spacing w:line="240" w:lineRule="auto"/>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15、耐碱汗渍色牢度：变色≥4级，沾色≥4级（依据GB/T  3922-2013标准）</w:t>
            </w:r>
          </w:p>
          <w:p w14:paraId="0FFB6ACD">
            <w:pPr>
              <w:spacing w:line="240" w:lineRule="auto"/>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16、耐摩擦色牢度：干摩≥4级，湿摩≥4级（依据GB/T  3920-2008标准）</w:t>
            </w:r>
          </w:p>
          <w:p w14:paraId="32FF7281">
            <w:pPr>
              <w:spacing w:line="240" w:lineRule="auto"/>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17、耐光色牢度：＞4级（依据GB/T  8427-2008标准）</w:t>
            </w:r>
          </w:p>
          <w:p w14:paraId="14F2FBF2">
            <w:pPr>
              <w:spacing w:line="240" w:lineRule="auto"/>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18、耐唾液色牢度：≥4级（依据GB/T  18886-2002标准）</w:t>
            </w:r>
          </w:p>
          <w:p w14:paraId="0FD4FA62">
            <w:pPr>
              <w:spacing w:line="240" w:lineRule="auto"/>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19、水洗尺寸变化率：经向：-1.0~1.0，纬向：-1.0~1.0 (依据GB/T 8628-2013，GB/T 8629-2017，GB/T 8630-2013标准)</w:t>
            </w:r>
          </w:p>
          <w:p w14:paraId="6364D0AB">
            <w:pPr>
              <w:spacing w:line="240" w:lineRule="auto"/>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20、断裂强力：经向：≥530N，纬向：≥1700N (依据GB/T 3923.1-2013标准)</w:t>
            </w:r>
          </w:p>
          <w:p w14:paraId="76BE233D">
            <w:pPr>
              <w:spacing w:line="240" w:lineRule="auto"/>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21、顶破强力：≥1200N (依据GB/T 19976-2005标准)</w:t>
            </w:r>
          </w:p>
          <w:p w14:paraId="44CBAF29">
            <w:pPr>
              <w:spacing w:line="240" w:lineRule="auto"/>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31、防紫外线性能的判定：UPF值≥13，UPF等级＞10，T（UVA）AV/%  ≤30.55，T（UVB）AV/%   ≤5.77 (依据GB/T 18830-2009标准)</w:t>
            </w:r>
          </w:p>
          <w:p w14:paraId="0BE6FB87">
            <w:pPr>
              <w:spacing w:line="240" w:lineRule="auto"/>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22、酚黄变色牢度：≥4级（依据GB/T 29778-2013标准）</w:t>
            </w:r>
          </w:p>
          <w:p w14:paraId="34EC8F11">
            <w:pPr>
              <w:spacing w:line="240" w:lineRule="auto"/>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23、透气率:  1202.1±5mm/s （依据GB/T 5453-1997标准）</w:t>
            </w:r>
          </w:p>
          <w:p w14:paraId="54F2EA97">
            <w:pPr>
              <w:spacing w:line="240" w:lineRule="auto"/>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24、起球：≥4   （依据GB/T  4802.2-2008标准)</w:t>
            </w:r>
          </w:p>
          <w:p w14:paraId="7A63F5BA">
            <w:pPr>
              <w:numPr>
                <w:ilvl w:val="0"/>
                <w:numId w:val="0"/>
              </w:numPr>
              <w:spacing w:before="35" w:line="240" w:lineRule="auto"/>
              <w:ind w:right="572" w:rightChars="0"/>
              <w:jc w:val="left"/>
              <w:rPr>
                <w:rFonts w:hint="eastAsia" w:ascii="宋体" w:hAnsi="宋体" w:eastAsia="宋体" w:cs="宋体"/>
                <w:color w:val="auto"/>
                <w:sz w:val="21"/>
                <w:szCs w:val="21"/>
                <w:highlight w:val="magenta"/>
                <w:lang w:val="en-US" w:eastAsia="zh-CN"/>
              </w:rPr>
            </w:pPr>
            <w:r>
              <w:rPr>
                <w:rFonts w:hint="eastAsia" w:ascii="宋体" w:hAnsi="宋体" w:eastAsia="宋体" w:cs="宋体"/>
                <w:color w:val="auto"/>
                <w:sz w:val="21"/>
                <w:szCs w:val="21"/>
                <w:highlight w:val="magenta"/>
                <w:lang w:val="en-US" w:eastAsia="zh-CN"/>
              </w:rPr>
              <w:t>注：中标后签订合同前中标人需提供有效期内含以上各项技术指标的第三方权威检测机构出具的带有国家计量认证（CMA）标识的检测报告复印件给采购人核验，如不达标，采购人有权拒绝签订合同，并解除中标单位的中标资格。</w:t>
            </w:r>
          </w:p>
          <w:p w14:paraId="4E3FBA5F">
            <w:pPr>
              <w:numPr>
                <w:ilvl w:val="0"/>
                <w:numId w:val="0"/>
              </w:numPr>
              <w:spacing w:before="35" w:line="240" w:lineRule="auto"/>
              <w:ind w:right="572" w:rightChars="0"/>
              <w:jc w:val="left"/>
              <w:rPr>
                <w:rFonts w:hint="eastAsia" w:ascii="宋体" w:hAnsi="宋体" w:eastAsia="宋体" w:cs="宋体"/>
                <w:color w:val="auto"/>
                <w:sz w:val="21"/>
                <w:szCs w:val="21"/>
                <w:highlight w:val="magenta"/>
                <w:lang w:val="en-US" w:eastAsia="zh-CN"/>
              </w:rPr>
            </w:pPr>
            <w:r>
              <w:rPr>
                <w:rFonts w:hint="eastAsia" w:ascii="宋体" w:hAnsi="宋体" w:eastAsia="宋体" w:cs="宋体"/>
                <w:color w:val="auto"/>
                <w:sz w:val="21"/>
                <w:szCs w:val="21"/>
                <w:highlight w:val="none"/>
                <w:lang w:val="en-US" w:eastAsia="zh-CN"/>
              </w:rPr>
              <w:t>25、幅宽（cm)200±30</w:t>
            </w:r>
          </w:p>
        </w:tc>
      </w:tr>
      <w:tr w14:paraId="30A49D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49" w:hRule="atLeast"/>
          <w:jc w:val="center"/>
        </w:trPr>
        <w:tc>
          <w:tcPr>
            <w:tcW w:w="734" w:type="dxa"/>
            <w:vAlign w:val="center"/>
          </w:tcPr>
          <w:p w14:paraId="74585F2B">
            <w:pPr>
              <w:autoSpaceDE w:val="0"/>
              <w:autoSpaceDN w:val="0"/>
              <w:spacing w:line="240" w:lineRule="auto"/>
              <w:jc w:val="center"/>
              <w:outlineLvl w:val="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w:t>
            </w:r>
          </w:p>
        </w:tc>
        <w:tc>
          <w:tcPr>
            <w:tcW w:w="1166" w:type="dxa"/>
            <w:vAlign w:val="center"/>
          </w:tcPr>
          <w:p w14:paraId="46737E5D">
            <w:pPr>
              <w:autoSpaceDE w:val="0"/>
              <w:autoSpaceDN w:val="0"/>
              <w:spacing w:line="240" w:lineRule="auto"/>
              <w:jc w:val="center"/>
              <w:outlineLvl w:val="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上</w:t>
            </w:r>
            <w:r>
              <w:rPr>
                <w:rFonts w:hint="eastAsia" w:ascii="宋体" w:hAnsi="宋体" w:eastAsia="宋体" w:cs="宋体"/>
                <w:sz w:val="21"/>
                <w:szCs w:val="21"/>
              </w:rPr>
              <w:t>管</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底杆</w:t>
            </w:r>
          </w:p>
        </w:tc>
        <w:tc>
          <w:tcPr>
            <w:tcW w:w="6586" w:type="dxa"/>
            <w:vAlign w:val="center"/>
          </w:tcPr>
          <w:p w14:paraId="55AF0820">
            <w:pPr>
              <w:pStyle w:val="21"/>
              <w:spacing w:line="240" w:lineRule="auto"/>
              <w:jc w:val="left"/>
              <w:rPr>
                <w:rFonts w:hint="eastAsia" w:ascii="宋体" w:hAnsi="宋体" w:eastAsia="宋体" w:cs="宋体"/>
                <w:sz w:val="21"/>
                <w:szCs w:val="21"/>
              </w:rPr>
            </w:pPr>
            <w:r>
              <w:rPr>
                <w:rFonts w:hint="eastAsia" w:ascii="宋体" w:hAnsi="宋体" w:eastAsia="宋体" w:cs="宋体"/>
                <w:b/>
                <w:bCs/>
                <w:sz w:val="21"/>
                <w:szCs w:val="21"/>
              </w:rPr>
              <w:t>上管</w:t>
            </w:r>
            <w:r>
              <w:rPr>
                <w:rFonts w:hint="eastAsia" w:ascii="宋体" w:hAnsi="宋体" w:eastAsia="宋体" w:cs="宋体"/>
                <w:sz w:val="21"/>
                <w:szCs w:val="21"/>
              </w:rPr>
              <w:tab/>
            </w:r>
          </w:p>
          <w:p w14:paraId="18C37491">
            <w:pPr>
              <w:pStyle w:val="21"/>
              <w:spacing w:line="240" w:lineRule="auto"/>
              <w:rPr>
                <w:rFonts w:hint="eastAsia" w:ascii="宋体" w:hAnsi="宋体" w:eastAsia="宋体" w:cs="宋体"/>
                <w:sz w:val="21"/>
                <w:szCs w:val="21"/>
              </w:rPr>
            </w:pPr>
            <w:r>
              <w:rPr>
                <w:rFonts w:hint="eastAsia" w:ascii="宋体" w:hAnsi="宋体" w:eastAsia="宋体" w:cs="宋体"/>
                <w:sz w:val="21"/>
                <w:szCs w:val="21"/>
              </w:rPr>
              <w:t>1、规格：采用优质高强度铝合金材质，圆管内直径≥φ38.00mm，内有6根加强筋位设计，增加强度，抗弯曲能力强，经久耐用</w:t>
            </w:r>
            <w:r>
              <w:rPr>
                <w:rFonts w:hint="eastAsia" w:ascii="宋体" w:hAnsi="宋体" w:eastAsia="宋体" w:cs="宋体"/>
                <w:sz w:val="21"/>
                <w:szCs w:val="21"/>
              </w:rPr>
              <w:tab/>
            </w:r>
          </w:p>
          <w:p w14:paraId="6CFF54B6">
            <w:pPr>
              <w:pStyle w:val="21"/>
              <w:spacing w:line="240" w:lineRule="auto"/>
              <w:rPr>
                <w:rFonts w:hint="eastAsia" w:ascii="宋体" w:hAnsi="宋体" w:eastAsia="宋体" w:cs="宋体"/>
                <w:sz w:val="21"/>
                <w:szCs w:val="21"/>
              </w:rPr>
            </w:pPr>
            <w:r>
              <w:rPr>
                <w:rFonts w:hint="eastAsia" w:ascii="宋体" w:hAnsi="宋体" w:eastAsia="宋体" w:cs="宋体"/>
                <w:sz w:val="21"/>
                <w:szCs w:val="21"/>
              </w:rPr>
              <w:t>2、规定非比例延伸强度</w:t>
            </w:r>
            <w:r>
              <w:rPr>
                <w:rFonts w:hint="eastAsia" w:ascii="宋体" w:hAnsi="宋体" w:eastAsia="宋体" w:cs="宋体"/>
                <w:sz w:val="21"/>
                <w:szCs w:val="21"/>
              </w:rPr>
              <w:tab/>
            </w:r>
            <w:r>
              <w:rPr>
                <w:rFonts w:hint="eastAsia" w:ascii="宋体" w:hAnsi="宋体" w:eastAsia="宋体" w:cs="宋体"/>
                <w:sz w:val="21"/>
                <w:szCs w:val="21"/>
              </w:rPr>
              <w:t>≥240 MPa</w:t>
            </w:r>
            <w:r>
              <w:rPr>
                <w:rFonts w:hint="eastAsia" w:ascii="宋体" w:hAnsi="宋体" w:eastAsia="宋体" w:cs="宋体"/>
                <w:sz w:val="21"/>
                <w:szCs w:val="21"/>
              </w:rPr>
              <w:tab/>
            </w:r>
          </w:p>
          <w:p w14:paraId="7CC8E44A">
            <w:pPr>
              <w:pStyle w:val="21"/>
              <w:spacing w:line="240" w:lineRule="auto"/>
              <w:rPr>
                <w:rFonts w:hint="eastAsia" w:ascii="宋体" w:hAnsi="宋体" w:eastAsia="宋体" w:cs="宋体"/>
                <w:sz w:val="21"/>
                <w:szCs w:val="21"/>
              </w:rPr>
            </w:pPr>
            <w:r>
              <w:rPr>
                <w:rFonts w:hint="eastAsia" w:ascii="宋体" w:hAnsi="宋体" w:eastAsia="宋体" w:cs="宋体"/>
                <w:sz w:val="21"/>
                <w:szCs w:val="21"/>
              </w:rPr>
              <w:t>3、抗拉强度</w:t>
            </w:r>
            <w:r>
              <w:rPr>
                <w:rFonts w:hint="eastAsia" w:ascii="宋体" w:hAnsi="宋体" w:eastAsia="宋体" w:cs="宋体"/>
                <w:sz w:val="21"/>
                <w:szCs w:val="21"/>
              </w:rPr>
              <w:tab/>
            </w:r>
            <w:r>
              <w:rPr>
                <w:rFonts w:hint="eastAsia" w:ascii="宋体" w:hAnsi="宋体" w:eastAsia="宋体" w:cs="宋体"/>
                <w:sz w:val="21"/>
                <w:szCs w:val="21"/>
              </w:rPr>
              <w:t>≥250 MPa</w:t>
            </w:r>
            <w:r>
              <w:rPr>
                <w:rFonts w:hint="eastAsia" w:ascii="宋体" w:hAnsi="宋体" w:eastAsia="宋体" w:cs="宋体"/>
                <w:sz w:val="21"/>
                <w:szCs w:val="21"/>
              </w:rPr>
              <w:tab/>
            </w:r>
          </w:p>
          <w:p w14:paraId="7C3A74D8">
            <w:pPr>
              <w:pStyle w:val="21"/>
              <w:spacing w:line="240" w:lineRule="auto"/>
              <w:rPr>
                <w:rFonts w:hint="eastAsia" w:ascii="宋体" w:hAnsi="宋体" w:eastAsia="宋体" w:cs="宋体"/>
                <w:sz w:val="21"/>
                <w:szCs w:val="21"/>
              </w:rPr>
            </w:pPr>
            <w:r>
              <w:rPr>
                <w:rFonts w:hint="eastAsia" w:ascii="宋体" w:hAnsi="宋体" w:eastAsia="宋体" w:cs="宋体"/>
                <w:sz w:val="21"/>
                <w:szCs w:val="21"/>
              </w:rPr>
              <w:t>4、断后伸长率≥15%</w:t>
            </w:r>
            <w:r>
              <w:rPr>
                <w:rFonts w:hint="eastAsia" w:ascii="宋体" w:hAnsi="宋体" w:eastAsia="宋体" w:cs="宋体"/>
                <w:sz w:val="21"/>
                <w:szCs w:val="21"/>
              </w:rPr>
              <w:tab/>
            </w:r>
          </w:p>
          <w:p w14:paraId="49ED4FE6">
            <w:pPr>
              <w:pStyle w:val="21"/>
              <w:spacing w:line="240" w:lineRule="auto"/>
              <w:rPr>
                <w:rFonts w:hint="eastAsia" w:ascii="宋体" w:hAnsi="宋体" w:eastAsia="宋体" w:cs="宋体"/>
                <w:sz w:val="21"/>
                <w:szCs w:val="21"/>
              </w:rPr>
            </w:pPr>
            <w:r>
              <w:rPr>
                <w:rFonts w:hint="eastAsia" w:ascii="宋体" w:hAnsi="宋体" w:eastAsia="宋体" w:cs="宋体"/>
                <w:sz w:val="21"/>
                <w:szCs w:val="21"/>
              </w:rPr>
              <w:t>5、韦氏硬度≥14HW</w:t>
            </w:r>
            <w:r>
              <w:rPr>
                <w:rFonts w:hint="eastAsia" w:ascii="宋体" w:hAnsi="宋体" w:eastAsia="宋体" w:cs="宋体"/>
                <w:sz w:val="21"/>
                <w:szCs w:val="21"/>
              </w:rPr>
              <w:tab/>
            </w:r>
          </w:p>
          <w:p w14:paraId="0B9752BF">
            <w:pPr>
              <w:pStyle w:val="21"/>
              <w:spacing w:line="240" w:lineRule="auto"/>
              <w:rPr>
                <w:rFonts w:hint="eastAsia" w:ascii="宋体" w:hAnsi="宋体" w:eastAsia="宋体" w:cs="宋体"/>
                <w:sz w:val="21"/>
                <w:szCs w:val="21"/>
              </w:rPr>
            </w:pPr>
            <w:r>
              <w:rPr>
                <w:rFonts w:hint="eastAsia" w:ascii="宋体" w:hAnsi="宋体" w:eastAsia="宋体" w:cs="宋体"/>
                <w:sz w:val="21"/>
                <w:szCs w:val="21"/>
              </w:rPr>
              <w:t>6、卷管壁厚≥2.0MM</w:t>
            </w:r>
            <w:r>
              <w:rPr>
                <w:rFonts w:hint="eastAsia" w:ascii="宋体" w:hAnsi="宋体" w:eastAsia="宋体" w:cs="宋体"/>
                <w:sz w:val="21"/>
                <w:szCs w:val="21"/>
              </w:rPr>
              <w:tab/>
            </w:r>
          </w:p>
          <w:p w14:paraId="083E2E0F">
            <w:pPr>
              <w:pStyle w:val="21"/>
              <w:spacing w:line="240" w:lineRule="auto"/>
              <w:rPr>
                <w:rFonts w:hint="eastAsia" w:ascii="宋体" w:hAnsi="宋体" w:eastAsia="宋体" w:cs="宋体"/>
                <w:sz w:val="21"/>
                <w:szCs w:val="21"/>
              </w:rPr>
            </w:pPr>
            <w:r>
              <w:rPr>
                <w:rFonts w:hint="eastAsia" w:ascii="宋体" w:hAnsi="宋体" w:eastAsia="宋体" w:cs="宋体"/>
                <w:sz w:val="21"/>
                <w:szCs w:val="21"/>
              </w:rPr>
              <w:t>7、卷管表面：阳极氧化或防腐涂层</w:t>
            </w:r>
            <w:r>
              <w:rPr>
                <w:rFonts w:hint="eastAsia" w:ascii="宋体" w:hAnsi="宋体" w:eastAsia="宋体" w:cs="宋体"/>
                <w:sz w:val="21"/>
                <w:szCs w:val="21"/>
              </w:rPr>
              <w:tab/>
            </w:r>
          </w:p>
          <w:p w14:paraId="698B7829">
            <w:pPr>
              <w:pStyle w:val="21"/>
              <w:spacing w:line="240" w:lineRule="auto"/>
              <w:rPr>
                <w:rFonts w:hint="eastAsia" w:ascii="宋体" w:hAnsi="宋体" w:eastAsia="宋体" w:cs="宋体"/>
                <w:sz w:val="21"/>
                <w:szCs w:val="21"/>
              </w:rPr>
            </w:pPr>
            <w:r>
              <w:rPr>
                <w:rFonts w:hint="eastAsia" w:ascii="宋体" w:hAnsi="宋体" w:eastAsia="宋体" w:cs="宋体"/>
                <w:sz w:val="21"/>
                <w:szCs w:val="21"/>
              </w:rPr>
              <w:t>8、承重：对轨道施加30kg载荷，轨道未变形</w:t>
            </w:r>
            <w:r>
              <w:rPr>
                <w:rFonts w:hint="eastAsia" w:ascii="宋体" w:hAnsi="宋体" w:eastAsia="宋体" w:cs="宋体"/>
                <w:sz w:val="21"/>
                <w:szCs w:val="21"/>
              </w:rPr>
              <w:tab/>
            </w:r>
          </w:p>
          <w:p w14:paraId="17562F52">
            <w:pPr>
              <w:pStyle w:val="21"/>
              <w:spacing w:line="240" w:lineRule="auto"/>
              <w:rPr>
                <w:rFonts w:hint="eastAsia" w:ascii="宋体" w:hAnsi="宋体" w:eastAsia="宋体" w:cs="宋体"/>
                <w:sz w:val="21"/>
                <w:szCs w:val="21"/>
              </w:rPr>
            </w:pPr>
            <w:r>
              <w:rPr>
                <w:rFonts w:hint="eastAsia" w:ascii="宋体" w:hAnsi="宋体" w:eastAsia="宋体" w:cs="宋体"/>
                <w:b/>
                <w:bCs/>
                <w:sz w:val="21"/>
                <w:szCs w:val="21"/>
                <w:lang w:val="en-US" w:eastAsia="zh-CN"/>
              </w:rPr>
              <w:t>底</w:t>
            </w:r>
            <w:r>
              <w:rPr>
                <w:rFonts w:hint="eastAsia" w:ascii="宋体" w:hAnsi="宋体" w:eastAsia="宋体" w:cs="宋体"/>
                <w:b/>
                <w:bCs/>
                <w:sz w:val="21"/>
                <w:szCs w:val="21"/>
              </w:rPr>
              <w:t>杆</w:t>
            </w:r>
            <w:r>
              <w:rPr>
                <w:rFonts w:hint="eastAsia" w:ascii="宋体" w:hAnsi="宋体" w:eastAsia="宋体" w:cs="宋体"/>
                <w:sz w:val="21"/>
                <w:szCs w:val="21"/>
              </w:rPr>
              <w:tab/>
            </w:r>
          </w:p>
          <w:p w14:paraId="7E5AD5ED">
            <w:pPr>
              <w:pStyle w:val="21"/>
              <w:spacing w:line="240" w:lineRule="auto"/>
              <w:rPr>
                <w:rFonts w:hint="eastAsia" w:ascii="宋体" w:hAnsi="宋体" w:eastAsia="宋体" w:cs="宋体"/>
                <w:sz w:val="21"/>
                <w:szCs w:val="21"/>
              </w:rPr>
            </w:pPr>
            <w:r>
              <w:rPr>
                <w:rFonts w:hint="eastAsia" w:ascii="宋体" w:hAnsi="宋体" w:eastAsia="宋体" w:cs="宋体"/>
                <w:sz w:val="21"/>
                <w:szCs w:val="21"/>
              </w:rPr>
              <w:t>1、规格：水滴型下梁外观尺寸≥32mm*11mm，阳极氧化处理，喷涂厚度为≥6U±1U，符合国家标准GB 3380-83</w:t>
            </w:r>
          </w:p>
          <w:p w14:paraId="6F375485">
            <w:pPr>
              <w:pStyle w:val="21"/>
              <w:spacing w:line="240" w:lineRule="auto"/>
              <w:rPr>
                <w:rFonts w:hint="eastAsia" w:ascii="宋体" w:hAnsi="宋体" w:eastAsia="宋体" w:cs="宋体"/>
                <w:sz w:val="21"/>
                <w:szCs w:val="21"/>
              </w:rPr>
            </w:pPr>
            <w:r>
              <w:rPr>
                <w:rFonts w:hint="eastAsia" w:ascii="宋体" w:hAnsi="宋体" w:eastAsia="宋体" w:cs="宋体"/>
                <w:sz w:val="21"/>
                <w:szCs w:val="21"/>
                <w:lang w:val="en-US" w:eastAsia="zh-CN"/>
              </w:rPr>
              <w:t>2</w:t>
            </w:r>
            <w:r>
              <w:rPr>
                <w:rFonts w:hint="eastAsia" w:ascii="宋体" w:hAnsi="宋体" w:eastAsia="宋体" w:cs="宋体"/>
                <w:sz w:val="21"/>
                <w:szCs w:val="21"/>
              </w:rPr>
              <w:t>、承重：对轨道施加30kg载荷，轨道未破坏</w:t>
            </w:r>
            <w:r>
              <w:rPr>
                <w:rFonts w:hint="eastAsia" w:ascii="宋体" w:hAnsi="宋体" w:eastAsia="宋体" w:cs="宋体"/>
                <w:sz w:val="21"/>
                <w:szCs w:val="21"/>
              </w:rPr>
              <w:tab/>
            </w:r>
          </w:p>
          <w:p w14:paraId="5D20AAF7">
            <w:pPr>
              <w:pStyle w:val="21"/>
              <w:spacing w:line="240" w:lineRule="auto"/>
              <w:rPr>
                <w:rFonts w:hint="eastAsia" w:ascii="宋体" w:hAnsi="宋体" w:eastAsia="宋体" w:cs="宋体"/>
                <w:sz w:val="21"/>
                <w:szCs w:val="21"/>
              </w:rPr>
            </w:pPr>
            <w:r>
              <w:rPr>
                <w:rFonts w:hint="eastAsia" w:ascii="宋体" w:hAnsi="宋体" w:eastAsia="宋体" w:cs="宋体"/>
                <w:sz w:val="21"/>
                <w:szCs w:val="21"/>
                <w:lang w:val="en-US" w:eastAsia="zh-CN"/>
              </w:rPr>
              <w:t>3</w:t>
            </w:r>
            <w:r>
              <w:rPr>
                <w:rFonts w:hint="eastAsia" w:ascii="宋体" w:hAnsi="宋体" w:eastAsia="宋体" w:cs="宋体"/>
                <w:sz w:val="21"/>
                <w:szCs w:val="21"/>
              </w:rPr>
              <w:t>、材料：高强度优质铝合金材质</w:t>
            </w:r>
            <w:r>
              <w:rPr>
                <w:rFonts w:hint="eastAsia" w:ascii="宋体" w:hAnsi="宋体" w:eastAsia="宋体" w:cs="宋体"/>
                <w:sz w:val="21"/>
                <w:szCs w:val="21"/>
              </w:rPr>
              <w:tab/>
            </w:r>
          </w:p>
          <w:p w14:paraId="05A4798E">
            <w:pPr>
              <w:pStyle w:val="21"/>
              <w:spacing w:line="240" w:lineRule="auto"/>
              <w:rPr>
                <w:rFonts w:hint="eastAsia" w:ascii="宋体" w:hAnsi="宋体" w:eastAsia="宋体" w:cs="宋体"/>
                <w:sz w:val="21"/>
                <w:szCs w:val="21"/>
              </w:rPr>
            </w:pPr>
            <w:r>
              <w:rPr>
                <w:rFonts w:hint="eastAsia" w:ascii="宋体" w:hAnsi="宋体" w:eastAsia="宋体" w:cs="宋体"/>
                <w:sz w:val="21"/>
                <w:szCs w:val="21"/>
                <w:lang w:val="en-US" w:eastAsia="zh-CN"/>
              </w:rPr>
              <w:t>4</w:t>
            </w:r>
            <w:r>
              <w:rPr>
                <w:rFonts w:hint="eastAsia" w:ascii="宋体" w:hAnsi="宋体" w:eastAsia="宋体" w:cs="宋体"/>
                <w:sz w:val="21"/>
                <w:szCs w:val="21"/>
              </w:rPr>
              <w:t>、壁厚≥1.4mm</w:t>
            </w:r>
            <w:r>
              <w:rPr>
                <w:rFonts w:hint="eastAsia" w:ascii="宋体" w:hAnsi="宋体" w:eastAsia="宋体" w:cs="宋体"/>
                <w:sz w:val="21"/>
                <w:szCs w:val="21"/>
              </w:rPr>
              <w:tab/>
            </w:r>
          </w:p>
          <w:p w14:paraId="07F9159D">
            <w:pPr>
              <w:pStyle w:val="21"/>
              <w:spacing w:line="240" w:lineRule="auto"/>
              <w:rPr>
                <w:rFonts w:hint="eastAsia" w:ascii="宋体" w:hAnsi="宋体" w:eastAsia="宋体" w:cs="宋体"/>
                <w:sz w:val="21"/>
                <w:szCs w:val="21"/>
              </w:rPr>
            </w:pPr>
            <w:r>
              <w:rPr>
                <w:rFonts w:hint="eastAsia" w:ascii="宋体" w:hAnsi="宋体" w:eastAsia="宋体" w:cs="宋体"/>
                <w:sz w:val="21"/>
                <w:szCs w:val="21"/>
                <w:lang w:val="en-US" w:eastAsia="zh-CN"/>
              </w:rPr>
              <w:t>5</w:t>
            </w:r>
            <w:r>
              <w:rPr>
                <w:rFonts w:hint="eastAsia" w:ascii="宋体" w:hAnsi="宋体" w:eastAsia="宋体" w:cs="宋体"/>
                <w:sz w:val="21"/>
                <w:szCs w:val="21"/>
              </w:rPr>
              <w:t>、克重≥380g/m</w:t>
            </w:r>
            <w:r>
              <w:rPr>
                <w:rFonts w:hint="eastAsia" w:ascii="宋体" w:hAnsi="宋体" w:eastAsia="宋体" w:cs="宋体"/>
                <w:sz w:val="21"/>
                <w:szCs w:val="21"/>
              </w:rPr>
              <w:tab/>
            </w:r>
          </w:p>
          <w:p w14:paraId="1CE321A1">
            <w:pPr>
              <w:pStyle w:val="21"/>
              <w:spacing w:line="240" w:lineRule="auto"/>
              <w:rPr>
                <w:rFonts w:hint="eastAsia" w:ascii="宋体" w:hAnsi="宋体" w:eastAsia="宋体" w:cs="宋体"/>
                <w:sz w:val="21"/>
                <w:szCs w:val="21"/>
              </w:rPr>
            </w:pPr>
            <w:r>
              <w:rPr>
                <w:rFonts w:hint="eastAsia" w:ascii="宋体" w:hAnsi="宋体" w:eastAsia="宋体" w:cs="宋体"/>
                <w:sz w:val="21"/>
                <w:szCs w:val="21"/>
                <w:lang w:val="en-US" w:eastAsia="zh-CN"/>
              </w:rPr>
              <w:t>6</w:t>
            </w:r>
            <w:r>
              <w:rPr>
                <w:rFonts w:hint="eastAsia" w:ascii="宋体" w:hAnsi="宋体" w:eastAsia="宋体" w:cs="宋体"/>
                <w:sz w:val="21"/>
                <w:szCs w:val="21"/>
              </w:rPr>
              <w:t>、规定非比例延伸强度≥200Mpa</w:t>
            </w:r>
            <w:r>
              <w:rPr>
                <w:rFonts w:hint="eastAsia" w:ascii="宋体" w:hAnsi="宋体" w:eastAsia="宋体" w:cs="宋体"/>
                <w:sz w:val="21"/>
                <w:szCs w:val="21"/>
              </w:rPr>
              <w:tab/>
            </w:r>
          </w:p>
          <w:p w14:paraId="084200C2">
            <w:pPr>
              <w:pStyle w:val="21"/>
              <w:spacing w:line="240" w:lineRule="auto"/>
              <w:rPr>
                <w:rFonts w:hint="eastAsia" w:ascii="宋体" w:hAnsi="宋体" w:eastAsia="宋体" w:cs="宋体"/>
                <w:sz w:val="21"/>
                <w:szCs w:val="21"/>
              </w:rPr>
            </w:pPr>
            <w:r>
              <w:rPr>
                <w:rFonts w:hint="eastAsia" w:ascii="宋体" w:hAnsi="宋体" w:eastAsia="宋体" w:cs="宋体"/>
                <w:sz w:val="21"/>
                <w:szCs w:val="21"/>
                <w:lang w:val="en-US" w:eastAsia="zh-CN"/>
              </w:rPr>
              <w:t>7</w:t>
            </w:r>
            <w:r>
              <w:rPr>
                <w:rFonts w:hint="eastAsia" w:ascii="宋体" w:hAnsi="宋体" w:eastAsia="宋体" w:cs="宋体"/>
                <w:sz w:val="21"/>
                <w:szCs w:val="21"/>
              </w:rPr>
              <w:t>、断后伸长率≥17%</w:t>
            </w:r>
            <w:r>
              <w:rPr>
                <w:rFonts w:hint="eastAsia" w:ascii="宋体" w:hAnsi="宋体" w:eastAsia="宋体" w:cs="宋体"/>
                <w:sz w:val="21"/>
                <w:szCs w:val="21"/>
              </w:rPr>
              <w:tab/>
            </w:r>
          </w:p>
          <w:p w14:paraId="2AA1972B">
            <w:pPr>
              <w:pStyle w:val="21"/>
              <w:spacing w:line="240" w:lineRule="auto"/>
              <w:rPr>
                <w:rFonts w:hint="eastAsia" w:ascii="宋体" w:hAnsi="宋体" w:eastAsia="宋体" w:cs="宋体"/>
                <w:sz w:val="21"/>
                <w:szCs w:val="21"/>
              </w:rPr>
            </w:pPr>
            <w:r>
              <w:rPr>
                <w:rFonts w:hint="eastAsia" w:ascii="宋体" w:hAnsi="宋体" w:eastAsia="宋体" w:cs="宋体"/>
                <w:sz w:val="21"/>
                <w:szCs w:val="21"/>
                <w:lang w:val="en-US" w:eastAsia="zh-CN"/>
              </w:rPr>
              <w:t>8</w:t>
            </w:r>
            <w:r>
              <w:rPr>
                <w:rFonts w:hint="eastAsia" w:ascii="宋体" w:hAnsi="宋体" w:eastAsia="宋体" w:cs="宋体"/>
                <w:sz w:val="21"/>
                <w:szCs w:val="21"/>
              </w:rPr>
              <w:t>、抗拉强度≥240Mpa</w:t>
            </w:r>
            <w:r>
              <w:rPr>
                <w:rFonts w:hint="eastAsia" w:ascii="宋体" w:hAnsi="宋体" w:eastAsia="宋体" w:cs="宋体"/>
                <w:sz w:val="21"/>
                <w:szCs w:val="21"/>
              </w:rPr>
              <w:tab/>
            </w:r>
          </w:p>
          <w:p w14:paraId="384BD6C1">
            <w:pPr>
              <w:pStyle w:val="21"/>
              <w:spacing w:line="240" w:lineRule="auto"/>
              <w:rPr>
                <w:rFonts w:hint="eastAsia" w:ascii="宋体" w:hAnsi="宋体" w:eastAsia="宋体" w:cs="宋体"/>
                <w:sz w:val="21"/>
                <w:szCs w:val="21"/>
              </w:rPr>
            </w:pPr>
            <w:r>
              <w:rPr>
                <w:rFonts w:hint="eastAsia" w:ascii="宋体" w:hAnsi="宋体" w:eastAsia="宋体" w:cs="宋体"/>
                <w:sz w:val="21"/>
                <w:szCs w:val="21"/>
                <w:lang w:val="en-US" w:eastAsia="zh-CN"/>
              </w:rPr>
              <w:t>9</w:t>
            </w:r>
            <w:r>
              <w:rPr>
                <w:rFonts w:hint="eastAsia" w:ascii="宋体" w:hAnsi="宋体" w:eastAsia="宋体" w:cs="宋体"/>
                <w:sz w:val="21"/>
                <w:szCs w:val="21"/>
              </w:rPr>
              <w:t>、韦氏硬度≥12HV</w:t>
            </w:r>
          </w:p>
          <w:p w14:paraId="062C5DD1">
            <w:pPr>
              <w:pStyle w:val="21"/>
              <w:spacing w:line="240" w:lineRule="auto"/>
              <w:rPr>
                <w:rFonts w:hint="eastAsia" w:ascii="宋体" w:hAnsi="宋体" w:eastAsia="宋体" w:cs="宋体"/>
                <w:sz w:val="21"/>
                <w:szCs w:val="21"/>
                <w:lang w:val="en-US" w:eastAsia="zh-CN"/>
              </w:rPr>
            </w:pPr>
          </w:p>
        </w:tc>
      </w:tr>
      <w:tr w14:paraId="79799A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06" w:hRule="atLeast"/>
          <w:jc w:val="center"/>
        </w:trPr>
        <w:tc>
          <w:tcPr>
            <w:tcW w:w="734" w:type="dxa"/>
            <w:vAlign w:val="center"/>
          </w:tcPr>
          <w:p w14:paraId="1C664BC7">
            <w:pPr>
              <w:autoSpaceDE w:val="0"/>
              <w:autoSpaceDN w:val="0"/>
              <w:spacing w:line="240" w:lineRule="auto"/>
              <w:jc w:val="center"/>
              <w:outlineLvl w:val="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w:t>
            </w:r>
          </w:p>
        </w:tc>
        <w:tc>
          <w:tcPr>
            <w:tcW w:w="1166" w:type="dxa"/>
            <w:vAlign w:val="center"/>
          </w:tcPr>
          <w:p w14:paraId="7B7F2175">
            <w:pPr>
              <w:autoSpaceDE w:val="0"/>
              <w:autoSpaceDN w:val="0"/>
              <w:spacing w:line="240" w:lineRule="auto"/>
              <w:jc w:val="center"/>
              <w:outlineLvl w:val="0"/>
              <w:rPr>
                <w:rFonts w:hint="eastAsia" w:ascii="宋体" w:hAnsi="宋体" w:eastAsia="宋体" w:cs="宋体"/>
                <w:sz w:val="21"/>
                <w:szCs w:val="21"/>
              </w:rPr>
            </w:pPr>
            <w:r>
              <w:rPr>
                <w:rFonts w:hint="eastAsia" w:ascii="宋体" w:hAnsi="宋体" w:eastAsia="宋体" w:cs="宋体"/>
                <w:sz w:val="21"/>
                <w:szCs w:val="21"/>
              </w:rPr>
              <w:t>制头、拉珠</w:t>
            </w:r>
          </w:p>
        </w:tc>
        <w:tc>
          <w:tcPr>
            <w:tcW w:w="6586" w:type="dxa"/>
            <w:vAlign w:val="center"/>
          </w:tcPr>
          <w:p w14:paraId="5A1E4207">
            <w:pPr>
              <w:pStyle w:val="21"/>
              <w:spacing w:line="240" w:lineRule="auto"/>
              <w:rPr>
                <w:rFonts w:hint="eastAsia" w:ascii="宋体" w:hAnsi="宋体" w:eastAsia="宋体" w:cs="宋体"/>
                <w:b/>
                <w:bCs/>
                <w:sz w:val="21"/>
                <w:szCs w:val="21"/>
              </w:rPr>
            </w:pPr>
            <w:r>
              <w:rPr>
                <w:rFonts w:hint="eastAsia" w:ascii="宋体" w:hAnsi="宋体" w:eastAsia="宋体" w:cs="宋体"/>
                <w:b/>
                <w:bCs/>
                <w:sz w:val="21"/>
                <w:szCs w:val="21"/>
              </w:rPr>
              <w:t>制头结构</w:t>
            </w:r>
          </w:p>
          <w:p w14:paraId="16A7E825">
            <w:pPr>
              <w:pStyle w:val="21"/>
              <w:spacing w:line="240" w:lineRule="auto"/>
              <w:rPr>
                <w:rFonts w:hint="eastAsia" w:ascii="宋体" w:hAnsi="宋体" w:eastAsia="宋体" w:cs="宋体"/>
                <w:sz w:val="21"/>
                <w:szCs w:val="21"/>
              </w:rPr>
            </w:pPr>
            <w:r>
              <w:rPr>
                <w:rFonts w:hint="eastAsia" w:ascii="宋体" w:hAnsi="宋体" w:eastAsia="宋体" w:cs="宋体"/>
                <w:sz w:val="21"/>
                <w:szCs w:val="21"/>
              </w:rPr>
              <w:t>1、金属弹簧座：内置金属弹簧座，1：5的行星齿轮减速系统，系统省力效果好，高强度的尼龙工程塑料、金属芯的刹车技术</w:t>
            </w:r>
            <w:r>
              <w:rPr>
                <w:rFonts w:hint="eastAsia" w:ascii="宋体" w:hAnsi="宋体" w:eastAsia="宋体" w:cs="宋体"/>
                <w:sz w:val="21"/>
                <w:szCs w:val="21"/>
              </w:rPr>
              <w:tab/>
            </w:r>
          </w:p>
          <w:p w14:paraId="3F3A30FC">
            <w:pPr>
              <w:pStyle w:val="21"/>
              <w:spacing w:line="240" w:lineRule="auto"/>
              <w:rPr>
                <w:rFonts w:hint="eastAsia" w:ascii="宋体" w:hAnsi="宋体" w:eastAsia="宋体" w:cs="宋体"/>
                <w:sz w:val="21"/>
                <w:szCs w:val="21"/>
              </w:rPr>
            </w:pPr>
            <w:r>
              <w:rPr>
                <w:rFonts w:hint="eastAsia" w:ascii="宋体" w:hAnsi="宋体" w:eastAsia="宋体" w:cs="宋体"/>
                <w:sz w:val="21"/>
                <w:szCs w:val="21"/>
              </w:rPr>
              <w:t>2、制尾限位系统：方便限位；可调限位器，调整方便；挂钩式制尾安装码系统，间隙小，安装方便</w:t>
            </w:r>
          </w:p>
          <w:p w14:paraId="6BE81706">
            <w:pPr>
              <w:pStyle w:val="21"/>
              <w:spacing w:line="240" w:lineRule="auto"/>
              <w:rPr>
                <w:rFonts w:hint="eastAsia" w:ascii="宋体" w:hAnsi="宋体" w:eastAsia="宋体" w:cs="宋体"/>
                <w:sz w:val="21"/>
                <w:szCs w:val="21"/>
              </w:rPr>
            </w:pPr>
            <w:r>
              <w:rPr>
                <w:rFonts w:hint="eastAsia" w:ascii="宋体" w:hAnsi="宋体" w:eastAsia="宋体" w:cs="宋体"/>
                <w:sz w:val="21"/>
                <w:szCs w:val="21"/>
              </w:rPr>
              <w:t>3、拉珠制头为可360度旋转的万向制头，固定制头的头安装码和尾安装码的固定螺丝孔位处需安装可拆卸式磁吸保护盖，保护盖规格应为长60*宽27*高11mm，通过保护盖内藏磁铁可吸附在头、尾安装码上（保护盖不允许螺丝和胶粘固定），窗帘安装完成后吸上磁吸保护盖遮盖防止螺丝外露不美观，维修时可轻易取下磁吸保护盖；拉珠需和制头配色</w:t>
            </w:r>
          </w:p>
          <w:p w14:paraId="46161057">
            <w:pPr>
              <w:pStyle w:val="21"/>
              <w:spacing w:line="240" w:lineRule="auto"/>
              <w:rPr>
                <w:rFonts w:hint="eastAsia" w:ascii="宋体" w:hAnsi="宋体" w:eastAsia="宋体" w:cs="宋体"/>
                <w:sz w:val="21"/>
                <w:szCs w:val="21"/>
              </w:rPr>
            </w:pPr>
            <w:r>
              <w:rPr>
                <w:rFonts w:hint="eastAsia" w:ascii="宋体" w:hAnsi="宋体" w:eastAsia="宋体" w:cs="宋体"/>
                <w:sz w:val="21"/>
                <w:szCs w:val="21"/>
              </w:rPr>
              <w:t>4、性能：1：5减速比，带减速省力装置，省力超过50%以上；高强度工程塑料配件，配件需抗紫外线、耐冲击适用于重型卷帘；最大称重18KG，最宽度可用于小于4米，高度小于10米的大型卷帘</w:t>
            </w:r>
          </w:p>
          <w:p w14:paraId="4B50CCEA">
            <w:pPr>
              <w:pStyle w:val="21"/>
              <w:spacing w:line="240" w:lineRule="auto"/>
              <w:rPr>
                <w:rFonts w:hint="eastAsia" w:ascii="宋体" w:hAnsi="宋体" w:eastAsia="宋体" w:cs="宋体"/>
                <w:b/>
                <w:bCs/>
                <w:sz w:val="21"/>
                <w:szCs w:val="21"/>
              </w:rPr>
            </w:pPr>
            <w:r>
              <w:rPr>
                <w:rFonts w:hint="eastAsia" w:ascii="宋体" w:hAnsi="宋体" w:eastAsia="宋体" w:cs="宋体"/>
                <w:sz w:val="21"/>
                <w:szCs w:val="21"/>
              </w:rPr>
              <w:t>5、功能：内置优质金属承重芯，优质进口弹簧，具有噪音小，手感轻，承重大等优点；使用寿命达10000次以上；安装码不小于2.0mm的钢板，表面防腐处理</w:t>
            </w:r>
          </w:p>
          <w:p w14:paraId="3D93EC4F">
            <w:pPr>
              <w:pStyle w:val="21"/>
              <w:spacing w:line="240" w:lineRule="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拉珠</w:t>
            </w:r>
          </w:p>
          <w:p w14:paraId="73782169">
            <w:pPr>
              <w:pStyle w:val="21"/>
              <w:spacing w:line="240" w:lineRule="auto"/>
              <w:rPr>
                <w:rFonts w:hint="eastAsia" w:ascii="宋体" w:hAnsi="宋体" w:eastAsia="宋体" w:cs="宋体"/>
                <w:sz w:val="21"/>
                <w:szCs w:val="21"/>
              </w:rPr>
            </w:pPr>
            <w:r>
              <w:rPr>
                <w:rFonts w:hint="eastAsia" w:ascii="宋体" w:hAnsi="宋体" w:eastAsia="宋体" w:cs="宋体"/>
                <w:sz w:val="21"/>
                <w:szCs w:val="21"/>
              </w:rPr>
              <w:t>1、拉珠材质要求：采用POM优质工程塑料，¢7拉珠，表面光滑，无毛刺，配色和谐，耐磨、耐老化，性能优异；拉绳采用高强聚酯纤维</w:t>
            </w:r>
            <w:r>
              <w:rPr>
                <w:rFonts w:hint="eastAsia" w:ascii="宋体" w:hAnsi="宋体" w:eastAsia="宋体" w:cs="宋体"/>
                <w:sz w:val="21"/>
                <w:szCs w:val="21"/>
              </w:rPr>
              <w:tab/>
            </w:r>
          </w:p>
          <w:p w14:paraId="17CD14DC">
            <w:pPr>
              <w:pStyle w:val="21"/>
              <w:spacing w:line="240" w:lineRule="auto"/>
              <w:rPr>
                <w:rFonts w:hint="eastAsia" w:ascii="宋体" w:hAnsi="宋体" w:eastAsia="宋体" w:cs="宋体"/>
                <w:sz w:val="21"/>
                <w:szCs w:val="21"/>
              </w:rPr>
            </w:pPr>
            <w:r>
              <w:rPr>
                <w:rFonts w:hint="eastAsia" w:ascii="宋体" w:hAnsi="宋体" w:eastAsia="宋体" w:cs="宋体"/>
                <w:sz w:val="21"/>
                <w:szCs w:val="21"/>
              </w:rPr>
              <w:t>2、拉绳抗拉力≥620N</w:t>
            </w:r>
            <w:r>
              <w:rPr>
                <w:rFonts w:hint="eastAsia" w:ascii="宋体" w:hAnsi="宋体" w:eastAsia="宋体" w:cs="宋体"/>
                <w:sz w:val="21"/>
                <w:szCs w:val="21"/>
              </w:rPr>
              <w:tab/>
            </w:r>
          </w:p>
          <w:p w14:paraId="02653BC3">
            <w:pPr>
              <w:pStyle w:val="21"/>
              <w:spacing w:line="240" w:lineRule="auto"/>
              <w:rPr>
                <w:rFonts w:hint="eastAsia" w:ascii="宋体" w:hAnsi="宋体" w:eastAsia="宋体" w:cs="宋体"/>
                <w:sz w:val="21"/>
                <w:szCs w:val="21"/>
              </w:rPr>
            </w:pPr>
            <w:r>
              <w:rPr>
                <w:rFonts w:hint="eastAsia" w:ascii="宋体" w:hAnsi="宋体" w:eastAsia="宋体" w:cs="宋体"/>
                <w:sz w:val="21"/>
                <w:szCs w:val="21"/>
              </w:rPr>
              <w:t>3、拉珠直径</w:t>
            </w:r>
            <w:r>
              <w:rPr>
                <w:rFonts w:hint="eastAsia" w:ascii="宋体" w:hAnsi="宋体" w:eastAsia="宋体" w:cs="宋体"/>
                <w:sz w:val="21"/>
                <w:szCs w:val="21"/>
              </w:rPr>
              <w:tab/>
            </w:r>
            <w:r>
              <w:rPr>
                <w:rFonts w:hint="eastAsia" w:ascii="宋体" w:hAnsi="宋体" w:eastAsia="宋体" w:cs="宋体"/>
                <w:sz w:val="21"/>
                <w:szCs w:val="21"/>
              </w:rPr>
              <w:t>5.3mm</w:t>
            </w:r>
            <w:r>
              <w:rPr>
                <w:rFonts w:hint="eastAsia" w:ascii="宋体" w:hAnsi="宋体" w:eastAsia="宋体" w:cs="宋体"/>
                <w:sz w:val="21"/>
                <w:szCs w:val="21"/>
              </w:rPr>
              <w:tab/>
            </w:r>
          </w:p>
          <w:p w14:paraId="56BFA93D">
            <w:pPr>
              <w:pStyle w:val="21"/>
              <w:spacing w:line="240" w:lineRule="auto"/>
              <w:rPr>
                <w:rFonts w:hint="eastAsia" w:ascii="宋体" w:hAnsi="宋体" w:eastAsia="宋体" w:cs="宋体"/>
                <w:sz w:val="21"/>
                <w:szCs w:val="21"/>
                <w:highlight w:val="yellow"/>
                <w:lang w:val="en-US" w:eastAsia="zh-CN"/>
              </w:rPr>
            </w:pPr>
          </w:p>
          <w:p w14:paraId="2E13E9BC">
            <w:pPr>
              <w:pStyle w:val="21"/>
              <w:spacing w:line="240" w:lineRule="auto"/>
              <w:rPr>
                <w:rFonts w:hint="eastAsia" w:ascii="宋体" w:hAnsi="宋体" w:eastAsia="宋体" w:cs="宋体"/>
                <w:b/>
                <w:bCs/>
                <w:sz w:val="21"/>
                <w:szCs w:val="21"/>
                <w:highlight w:val="yellow"/>
                <w:lang w:val="en-US" w:eastAsia="zh-CN"/>
              </w:rPr>
            </w:pPr>
            <w:r>
              <w:rPr>
                <w:rFonts w:hint="eastAsia" w:ascii="宋体" w:hAnsi="宋体" w:eastAsia="宋体" w:cs="宋体"/>
                <w:b/>
                <w:bCs/>
                <w:sz w:val="21"/>
                <w:szCs w:val="21"/>
                <w:highlight w:val="yellow"/>
                <w:lang w:val="en-US" w:eastAsia="zh-CN"/>
              </w:rPr>
              <w:t>特别说明：</w:t>
            </w:r>
          </w:p>
          <w:p w14:paraId="1ECECCEA">
            <w:pPr>
              <w:pStyle w:val="21"/>
              <w:spacing w:line="240" w:lineRule="auto"/>
              <w:rPr>
                <w:rFonts w:hint="eastAsia" w:ascii="宋体" w:hAnsi="宋体" w:eastAsia="宋体" w:cs="宋体"/>
                <w:b/>
                <w:bCs/>
                <w:sz w:val="21"/>
                <w:szCs w:val="21"/>
                <w:highlight w:val="yellow"/>
                <w:lang w:val="en-US" w:eastAsia="zh-CN"/>
              </w:rPr>
            </w:pPr>
            <w:r>
              <w:rPr>
                <w:rFonts w:hint="eastAsia" w:ascii="宋体" w:hAnsi="宋体" w:eastAsia="宋体" w:cs="宋体"/>
                <w:b/>
                <w:bCs/>
                <w:sz w:val="21"/>
                <w:szCs w:val="21"/>
                <w:highlight w:val="yellow"/>
                <w:lang w:val="en-US" w:eastAsia="zh-CN"/>
              </w:rPr>
              <w:t>1、辅材包含但不限于：安装码、尾塞、拉珠、拉珠制头、上杆、下杆、封头等其他未列明辅材，具体数量由各供应商根据供货需求和采购人实际要求综合考虑进行配置。</w:t>
            </w:r>
          </w:p>
          <w:p w14:paraId="7E8DA09D">
            <w:pPr>
              <w:pStyle w:val="21"/>
              <w:spacing w:line="240" w:lineRule="auto"/>
              <w:rPr>
                <w:rFonts w:hint="eastAsia" w:ascii="宋体" w:hAnsi="宋体" w:eastAsia="宋体" w:cs="宋体"/>
                <w:b/>
                <w:bCs/>
                <w:sz w:val="21"/>
                <w:szCs w:val="21"/>
                <w:highlight w:val="yellow"/>
                <w:lang w:val="en-US" w:eastAsia="zh-CN"/>
              </w:rPr>
            </w:pPr>
            <w:r>
              <w:rPr>
                <w:rFonts w:hint="eastAsia" w:ascii="宋体" w:hAnsi="宋体" w:eastAsia="宋体" w:cs="宋体"/>
                <w:b/>
                <w:bCs/>
                <w:sz w:val="21"/>
                <w:szCs w:val="21"/>
                <w:highlight w:val="yellow"/>
                <w:lang w:val="en-US" w:eastAsia="zh-CN"/>
              </w:rPr>
              <w:t>2、辅材和主材的色系花纹等搭配要协调。</w:t>
            </w:r>
          </w:p>
        </w:tc>
      </w:tr>
    </w:tbl>
    <w:p w14:paraId="5464E7AF">
      <w:pPr>
        <w:pStyle w:val="21"/>
        <w:rPr>
          <w:rFonts w:hint="eastAsia" w:ascii="宋体" w:hAnsi="宋体" w:cs="宋体"/>
          <w:kern w:val="0"/>
          <w:sz w:val="24"/>
          <w:szCs w:val="24"/>
        </w:rPr>
      </w:pPr>
    </w:p>
    <w:p w14:paraId="1417EFEA">
      <w:pPr>
        <w:pStyle w:val="21"/>
        <w:spacing w:line="240" w:lineRule="auto"/>
        <w:rPr>
          <w:rFonts w:hint="eastAsia" w:ascii="宋体" w:hAnsi="宋体" w:eastAsia="宋体" w:cs="宋体"/>
          <w:b/>
          <w:bCs/>
          <w:sz w:val="28"/>
          <w:szCs w:val="28"/>
          <w:highlight w:val="magenta"/>
          <w:lang w:val="en-US" w:eastAsia="zh-CN"/>
        </w:rPr>
      </w:pPr>
      <w:r>
        <w:rPr>
          <w:rFonts w:hint="eastAsia" w:ascii="宋体" w:hAnsi="宋体" w:eastAsia="宋体" w:cs="宋体"/>
          <w:b/>
          <w:bCs/>
          <w:sz w:val="28"/>
          <w:szCs w:val="28"/>
          <w:highlight w:val="magenta"/>
          <w:lang w:val="en-US" w:eastAsia="zh-CN"/>
        </w:rPr>
        <w:t>备注：本项目采购的窗帘和卷帘的颜色及款式由采购人确认后方可进场安装（中标后由供应商提供符合要求的几种样品供选择），中标供应商必须无条件服从。</w:t>
      </w:r>
      <w:bookmarkStart w:id="126" w:name="_Toc162856089"/>
    </w:p>
    <w:p w14:paraId="04871CDE">
      <w:pPr>
        <w:pStyle w:val="21"/>
        <w:spacing w:line="240" w:lineRule="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制作要求：</w:t>
      </w:r>
    </w:p>
    <w:p w14:paraId="3C38EA01">
      <w:pPr>
        <w:pStyle w:val="21"/>
        <w:ind w:firstLine="480" w:firstLineChars="200"/>
        <w:rPr>
          <w:rFonts w:hint="eastAsia" w:ascii="宋体" w:hAnsi="宋体" w:eastAsia="宋体" w:cs="宋体"/>
          <w:sz w:val="24"/>
          <w:szCs w:val="24"/>
        </w:rPr>
      </w:pPr>
      <w:r>
        <w:rPr>
          <w:rFonts w:hint="eastAsia" w:ascii="宋体" w:hAnsi="宋体" w:eastAsia="宋体" w:cs="宋体"/>
          <w:sz w:val="24"/>
          <w:szCs w:val="24"/>
        </w:rPr>
        <w:t>1.下梁与帘布连接使用超声波焊接工艺，帘布绕底梁一圈包杆工艺制不允许使用双面胶粘贴或订书机装订方式；</w:t>
      </w:r>
    </w:p>
    <w:p w14:paraId="6D2169A6">
      <w:pPr>
        <w:pStyle w:val="21"/>
        <w:ind w:firstLine="480" w:firstLineChars="200"/>
        <w:rPr>
          <w:rFonts w:hint="eastAsia" w:ascii="宋体" w:hAnsi="宋体" w:eastAsia="宋体" w:cs="宋体"/>
          <w:sz w:val="24"/>
          <w:szCs w:val="24"/>
        </w:rPr>
      </w:pPr>
      <w:r>
        <w:rPr>
          <w:rFonts w:hint="eastAsia" w:ascii="宋体" w:hAnsi="宋体" w:eastAsia="宋体" w:cs="宋体"/>
          <w:sz w:val="24"/>
          <w:szCs w:val="24"/>
        </w:rPr>
        <w:t>2.帘布两侧要求采用高温热切设备裁切，并使用超声波焊边机作封边处理，以防面料毛边。</w:t>
      </w:r>
    </w:p>
    <w:p w14:paraId="1B6409A2">
      <w:pPr>
        <w:widowControl/>
        <w:spacing w:line="360" w:lineRule="auto"/>
        <w:rPr>
          <w:rFonts w:ascii="黑体" w:hAnsi="黑体" w:eastAsia="黑体" w:cs="宋体"/>
          <w:b/>
          <w:bCs/>
          <w:kern w:val="0"/>
          <w:sz w:val="24"/>
          <w:szCs w:val="24"/>
        </w:rPr>
      </w:pPr>
      <w:r>
        <w:rPr>
          <w:rFonts w:hint="eastAsia" w:ascii="黑体" w:hAnsi="黑体" w:eastAsia="黑体" w:cs="宋体"/>
          <w:b/>
          <w:bCs/>
          <w:kern w:val="0"/>
          <w:sz w:val="24"/>
          <w:szCs w:val="24"/>
          <w:lang w:val="en-US" w:eastAsia="zh-CN"/>
        </w:rPr>
        <w:t>四</w:t>
      </w:r>
      <w:r>
        <w:rPr>
          <w:rFonts w:hint="eastAsia" w:ascii="黑体" w:hAnsi="黑体" w:eastAsia="黑体" w:cs="宋体"/>
          <w:b/>
          <w:bCs/>
          <w:kern w:val="0"/>
          <w:sz w:val="24"/>
          <w:szCs w:val="24"/>
        </w:rPr>
        <w:t>、采购及售后服务要求：</w:t>
      </w:r>
    </w:p>
    <w:p w14:paraId="733CA791">
      <w:pPr>
        <w:spacing w:line="440" w:lineRule="exact"/>
        <w:ind w:firstLine="480" w:firstLineChars="200"/>
        <w:rPr>
          <w:rFonts w:ascii="Times New Roman" w:hAnsi="Times New Roman" w:cs="宋体"/>
          <w:sz w:val="24"/>
          <w:highlight w:val="none"/>
        </w:rPr>
      </w:pPr>
      <w:r>
        <w:rPr>
          <w:rFonts w:hint="eastAsia" w:ascii="宋体" w:hAnsi="宋体" w:cs="宋体"/>
          <w:kern w:val="0"/>
          <w:sz w:val="24"/>
          <w:szCs w:val="24"/>
          <w:lang w:val="en-US" w:eastAsia="zh-CN"/>
        </w:rPr>
        <w:t>4</w:t>
      </w:r>
      <w:r>
        <w:rPr>
          <w:rFonts w:hint="eastAsia" w:ascii="宋体" w:hAnsi="宋体" w:cs="宋体"/>
          <w:kern w:val="0"/>
          <w:sz w:val="24"/>
          <w:szCs w:val="24"/>
        </w:rPr>
        <w:t>.1本项目的报价包含</w:t>
      </w:r>
      <w:r>
        <w:rPr>
          <w:rFonts w:hint="eastAsia" w:ascii="Times New Roman" w:hAnsi="Times New Roman" w:cs="宋体"/>
          <w:sz w:val="24"/>
          <w:highlight w:val="none"/>
          <w:lang w:val="en-US" w:eastAsia="zh-CN"/>
        </w:rPr>
        <w:t>所有</w:t>
      </w:r>
      <w:r>
        <w:rPr>
          <w:rFonts w:hint="eastAsia" w:ascii="Times New Roman" w:hAnsi="Times New Roman" w:cs="宋体"/>
          <w:sz w:val="24"/>
          <w:highlight w:val="none"/>
        </w:rPr>
        <w:t>货物采购、</w:t>
      </w:r>
      <w:r>
        <w:rPr>
          <w:rFonts w:hint="eastAsia" w:ascii="宋体" w:hAnsi="宋体" w:cs="宋体"/>
          <w:kern w:val="0"/>
          <w:sz w:val="24"/>
          <w:szCs w:val="24"/>
        </w:rPr>
        <w:t>包装</w:t>
      </w:r>
      <w:r>
        <w:rPr>
          <w:rFonts w:hint="eastAsia" w:ascii="宋体" w:hAnsi="宋体" w:cs="宋体"/>
          <w:kern w:val="0"/>
          <w:sz w:val="24"/>
          <w:szCs w:val="24"/>
          <w:lang w:eastAsia="zh-CN"/>
        </w:rPr>
        <w:t>、</w:t>
      </w:r>
      <w:r>
        <w:rPr>
          <w:rFonts w:hint="eastAsia" w:ascii="Times New Roman" w:hAnsi="Times New Roman" w:cs="宋体"/>
          <w:sz w:val="24"/>
          <w:highlight w:val="none"/>
        </w:rPr>
        <w:t>供应（含备品备件、专用工具等）、运输、安装（含辅材）、</w:t>
      </w:r>
      <w:r>
        <w:rPr>
          <w:rFonts w:hint="eastAsia" w:ascii="Times New Roman" w:hAnsi="Times New Roman"/>
          <w:sz w:val="24"/>
          <w:highlight w:val="none"/>
        </w:rPr>
        <w:t>管理费、利润、税金、</w:t>
      </w:r>
      <w:r>
        <w:rPr>
          <w:rFonts w:hint="eastAsia" w:ascii="Times New Roman" w:hAnsi="Times New Roman" w:cs="宋体"/>
          <w:sz w:val="24"/>
          <w:highlight w:val="none"/>
        </w:rPr>
        <w:t>验收</w:t>
      </w:r>
      <w:r>
        <w:rPr>
          <w:rFonts w:hint="eastAsia" w:ascii="Times New Roman" w:hAnsi="Times New Roman" w:cs="宋体"/>
          <w:sz w:val="24"/>
          <w:highlight w:val="none"/>
          <w:lang w:eastAsia="zh-CN"/>
        </w:rPr>
        <w:t>、</w:t>
      </w:r>
      <w:r>
        <w:rPr>
          <w:rFonts w:hint="eastAsia" w:ascii="Times New Roman" w:hAnsi="Times New Roman" w:cs="宋体"/>
          <w:sz w:val="24"/>
          <w:highlight w:val="none"/>
        </w:rPr>
        <w:t>合同期内的市场风险及国家政策性调整风险、不可预见费和售后等相关伴随服务而涵盖的所有费用。凡漏项或少计均视为优惠，甲方不另行增加费用。</w:t>
      </w:r>
    </w:p>
    <w:p w14:paraId="62EC904F">
      <w:pPr>
        <w:spacing w:line="440" w:lineRule="exact"/>
        <w:ind w:firstLine="480" w:firstLineChars="200"/>
        <w:rPr>
          <w:rFonts w:ascii="Times New Roman" w:hAnsi="Times New Roman"/>
          <w:sz w:val="24"/>
          <w:highlight w:val="none"/>
        </w:rPr>
      </w:pPr>
      <w:r>
        <w:rPr>
          <w:rFonts w:hint="eastAsia" w:ascii="宋体" w:hAnsi="宋体" w:cs="宋体"/>
          <w:kern w:val="0"/>
          <w:sz w:val="24"/>
          <w:szCs w:val="24"/>
          <w:lang w:val="en-US" w:eastAsia="zh-CN"/>
        </w:rPr>
        <w:t>4</w:t>
      </w:r>
      <w:r>
        <w:rPr>
          <w:rFonts w:hint="eastAsia" w:ascii="宋体" w:hAnsi="宋体" w:cs="宋体"/>
          <w:kern w:val="0"/>
          <w:sz w:val="24"/>
          <w:szCs w:val="24"/>
        </w:rPr>
        <w:t>.2交付使用时间：</w:t>
      </w:r>
      <w:r>
        <w:rPr>
          <w:rFonts w:hint="eastAsia" w:ascii="Times New Roman" w:hAnsi="Times New Roman"/>
          <w:sz w:val="24"/>
          <w:highlight w:val="none"/>
          <w:u w:val="single"/>
        </w:rPr>
        <w:t>合同签订之日起</w:t>
      </w:r>
      <w:r>
        <w:rPr>
          <w:rFonts w:hint="eastAsia" w:ascii="Times New Roman" w:hAnsi="Times New Roman"/>
          <w:sz w:val="24"/>
          <w:highlight w:val="none"/>
          <w:u w:val="single"/>
          <w:lang w:val="en-US" w:eastAsia="zh-CN"/>
        </w:rPr>
        <w:t>20</w:t>
      </w:r>
      <w:r>
        <w:rPr>
          <w:rFonts w:hint="eastAsia" w:ascii="Times New Roman" w:hAnsi="Times New Roman"/>
          <w:sz w:val="24"/>
          <w:highlight w:val="none"/>
          <w:u w:val="single"/>
        </w:rPr>
        <w:t>日历天内完成供货及</w:t>
      </w:r>
      <w:r>
        <w:rPr>
          <w:rFonts w:hint="eastAsia" w:ascii="Times New Roman" w:hAnsi="Times New Roman"/>
          <w:sz w:val="24"/>
          <w:highlight w:val="none"/>
          <w:u w:val="single"/>
          <w:lang w:val="en-US" w:eastAsia="zh-CN"/>
        </w:rPr>
        <w:t>安装</w:t>
      </w:r>
      <w:r>
        <w:rPr>
          <w:rFonts w:hint="eastAsia" w:ascii="Times New Roman" w:hAnsi="Times New Roman"/>
          <w:sz w:val="24"/>
          <w:highlight w:val="none"/>
          <w:u w:val="single"/>
        </w:rPr>
        <w:t>，并通过采购人验收。</w:t>
      </w:r>
    </w:p>
    <w:p w14:paraId="34FA8144">
      <w:pPr>
        <w:keepNext w:val="0"/>
        <w:keepLines w:val="0"/>
        <w:pageBreakBefore w:val="0"/>
        <w:widowControl/>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highlight w:val="none"/>
        </w:rPr>
      </w:pPr>
      <w:r>
        <w:rPr>
          <w:rFonts w:hint="eastAsia" w:ascii="宋体" w:hAnsi="宋体" w:cs="宋体"/>
          <w:kern w:val="0"/>
          <w:sz w:val="24"/>
          <w:szCs w:val="24"/>
          <w:lang w:val="en-US" w:eastAsia="zh-CN"/>
        </w:rPr>
        <w:t>4</w:t>
      </w:r>
      <w:r>
        <w:rPr>
          <w:rFonts w:hint="eastAsia" w:ascii="宋体" w:hAnsi="宋体" w:cs="宋体"/>
          <w:kern w:val="0"/>
          <w:sz w:val="24"/>
          <w:szCs w:val="24"/>
        </w:rPr>
        <w:t>.3售后服务要求：质保期</w:t>
      </w:r>
      <w:r>
        <w:rPr>
          <w:rFonts w:hint="eastAsia" w:ascii="宋体" w:hAnsi="宋体" w:cs="宋体"/>
          <w:kern w:val="0"/>
          <w:sz w:val="24"/>
          <w:szCs w:val="24"/>
          <w:lang w:val="en-US" w:eastAsia="zh-CN"/>
        </w:rPr>
        <w:t>3</w:t>
      </w:r>
      <w:r>
        <w:rPr>
          <w:rFonts w:hint="eastAsia" w:ascii="宋体" w:hAnsi="宋体" w:cs="宋体"/>
          <w:kern w:val="0"/>
          <w:sz w:val="24"/>
          <w:szCs w:val="24"/>
        </w:rPr>
        <w:t>年，验收时发现器材有质量问题或质保期内正常使用中出现损坏，在</w:t>
      </w:r>
      <w:r>
        <w:rPr>
          <w:rFonts w:hint="eastAsia" w:ascii="宋体" w:hAnsi="宋体" w:eastAsia="宋体" w:cs="宋体"/>
          <w:color w:val="auto"/>
          <w:sz w:val="24"/>
          <w:highlight w:val="none"/>
          <w:lang w:val="zh-CN"/>
        </w:rPr>
        <w:t>质保期内出现产品质量及安装问题，由中标人负责包修、包换或包退，并承担因此而产生的一切费用。中标人应在收到招标人通知后2小时响应，24小时到达现场，48小时保证修复正常。</w:t>
      </w:r>
    </w:p>
    <w:p w14:paraId="12437F7F">
      <w:pPr>
        <w:widowControl/>
        <w:spacing w:line="360" w:lineRule="auto"/>
        <w:rPr>
          <w:rFonts w:ascii="仿宋_GB2312" w:hAnsi="仿宋_GB2312" w:eastAsia="仿宋_GB2312" w:cs="仿宋_GB2312"/>
          <w:b/>
          <w:bCs/>
          <w:color w:val="000000"/>
          <w:kern w:val="0"/>
          <w:sz w:val="32"/>
          <w:szCs w:val="32"/>
        </w:rPr>
      </w:pPr>
      <w:r>
        <w:rPr>
          <w:rFonts w:hint="eastAsia" w:ascii="黑体" w:hAnsi="黑体" w:eastAsia="黑体" w:cs="宋体"/>
          <w:b/>
          <w:bCs/>
          <w:kern w:val="0"/>
          <w:sz w:val="24"/>
          <w:szCs w:val="24"/>
          <w:lang w:val="en-US" w:eastAsia="zh-CN"/>
        </w:rPr>
        <w:t>五</w:t>
      </w:r>
      <w:r>
        <w:rPr>
          <w:rFonts w:hint="eastAsia" w:ascii="黑体" w:hAnsi="黑体" w:eastAsia="黑体" w:cs="宋体"/>
          <w:b/>
          <w:bCs/>
          <w:kern w:val="0"/>
          <w:sz w:val="24"/>
          <w:szCs w:val="24"/>
        </w:rPr>
        <w:t>、</w:t>
      </w:r>
      <w:r>
        <w:rPr>
          <w:rFonts w:hint="eastAsia" w:ascii="宋体" w:hAnsi="宋体" w:eastAsia="宋体" w:cs="宋体"/>
          <w:b/>
          <w:bCs/>
          <w:kern w:val="0"/>
          <w:sz w:val="24"/>
          <w:szCs w:val="24"/>
        </w:rPr>
        <w:t>《货物清单表》</w:t>
      </w:r>
    </w:p>
    <w:tbl>
      <w:tblPr>
        <w:tblStyle w:val="16"/>
        <w:tblW w:w="90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3"/>
        <w:gridCol w:w="1483"/>
        <w:gridCol w:w="2349"/>
        <w:gridCol w:w="1309"/>
        <w:gridCol w:w="1244"/>
        <w:gridCol w:w="919"/>
        <w:gridCol w:w="989"/>
      </w:tblGrid>
      <w:tr w14:paraId="2A0CB8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1" w:hRule="atLeast"/>
          <w:jc w:val="center"/>
        </w:trPr>
        <w:tc>
          <w:tcPr>
            <w:tcW w:w="783" w:type="dxa"/>
            <w:noWrap/>
            <w:vAlign w:val="center"/>
          </w:tcPr>
          <w:p w14:paraId="51C15122">
            <w:pPr>
              <w:widowControl/>
              <w:spacing w:line="400" w:lineRule="exact"/>
              <w:jc w:val="center"/>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序号</w:t>
            </w:r>
          </w:p>
        </w:tc>
        <w:tc>
          <w:tcPr>
            <w:tcW w:w="1483" w:type="dxa"/>
            <w:noWrap/>
            <w:vAlign w:val="center"/>
          </w:tcPr>
          <w:p w14:paraId="58D7B20D">
            <w:pPr>
              <w:widowControl/>
              <w:spacing w:line="400" w:lineRule="exact"/>
              <w:jc w:val="center"/>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区域名称</w:t>
            </w:r>
          </w:p>
        </w:tc>
        <w:tc>
          <w:tcPr>
            <w:tcW w:w="2349" w:type="dxa"/>
            <w:noWrap/>
            <w:vAlign w:val="center"/>
          </w:tcPr>
          <w:p w14:paraId="1136CF3B">
            <w:pPr>
              <w:widowControl/>
              <w:spacing w:line="400" w:lineRule="exact"/>
              <w:jc w:val="center"/>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产品名称</w:t>
            </w:r>
          </w:p>
        </w:tc>
        <w:tc>
          <w:tcPr>
            <w:tcW w:w="1309" w:type="dxa"/>
            <w:noWrap/>
            <w:vAlign w:val="center"/>
          </w:tcPr>
          <w:p w14:paraId="1AE4DE46">
            <w:pPr>
              <w:widowControl/>
              <w:spacing w:line="400" w:lineRule="exact"/>
              <w:jc w:val="center"/>
              <w:rPr>
                <w:rFonts w:hint="eastAsia" w:ascii="宋体" w:hAnsi="宋体" w:eastAsia="宋体" w:cs="宋体"/>
                <w:b/>
                <w:color w:val="auto"/>
                <w:kern w:val="0"/>
                <w:sz w:val="21"/>
                <w:szCs w:val="21"/>
                <w:highlight w:val="none"/>
                <w:lang w:val="en-US" w:eastAsia="zh-CN"/>
              </w:rPr>
            </w:pPr>
            <w:r>
              <w:rPr>
                <w:rFonts w:hint="eastAsia" w:ascii="宋体" w:hAnsi="宋体" w:eastAsia="宋体" w:cs="宋体"/>
                <w:b/>
                <w:color w:val="auto"/>
                <w:kern w:val="0"/>
                <w:sz w:val="21"/>
                <w:szCs w:val="21"/>
                <w:highlight w:val="none"/>
                <w:lang w:val="en-US" w:eastAsia="zh-CN"/>
              </w:rPr>
              <w:t>窗帘尺寸</w:t>
            </w:r>
          </w:p>
          <w:p w14:paraId="09D40041">
            <w:pPr>
              <w:widowControl/>
              <w:spacing w:line="400" w:lineRule="exact"/>
              <w:jc w:val="center"/>
              <w:rPr>
                <w:rFonts w:hint="eastAsia" w:ascii="宋体" w:hAnsi="宋体" w:eastAsia="宋体" w:cs="宋体"/>
                <w:b/>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L*H（cm）</w:t>
            </w:r>
          </w:p>
        </w:tc>
        <w:tc>
          <w:tcPr>
            <w:tcW w:w="1244" w:type="dxa"/>
            <w:noWrap/>
            <w:vAlign w:val="center"/>
          </w:tcPr>
          <w:p w14:paraId="3FC98B39">
            <w:pPr>
              <w:widowControl/>
              <w:spacing w:line="400" w:lineRule="exact"/>
              <w:jc w:val="center"/>
              <w:rPr>
                <w:rFonts w:hint="eastAsia" w:ascii="宋体" w:hAnsi="宋体" w:eastAsia="宋体" w:cs="宋体"/>
                <w:b/>
                <w:color w:val="auto"/>
                <w:kern w:val="0"/>
                <w:sz w:val="21"/>
                <w:szCs w:val="21"/>
                <w:highlight w:val="none"/>
                <w:lang w:val="en-US" w:eastAsia="zh-CN" w:bidi="ar-SA"/>
              </w:rPr>
            </w:pPr>
            <w:r>
              <w:rPr>
                <w:rFonts w:hint="eastAsia" w:ascii="宋体" w:hAnsi="宋体" w:eastAsia="宋体" w:cs="宋体"/>
                <w:b/>
                <w:color w:val="auto"/>
                <w:kern w:val="0"/>
                <w:sz w:val="21"/>
                <w:szCs w:val="21"/>
                <w:highlight w:val="none"/>
              </w:rPr>
              <w:t>数量</w:t>
            </w:r>
          </w:p>
        </w:tc>
        <w:tc>
          <w:tcPr>
            <w:tcW w:w="919" w:type="dxa"/>
            <w:noWrap/>
            <w:vAlign w:val="center"/>
          </w:tcPr>
          <w:p w14:paraId="37F50EB6">
            <w:pPr>
              <w:widowControl/>
              <w:spacing w:line="400" w:lineRule="exact"/>
              <w:jc w:val="center"/>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单位</w:t>
            </w:r>
          </w:p>
        </w:tc>
        <w:tc>
          <w:tcPr>
            <w:tcW w:w="989" w:type="dxa"/>
            <w:noWrap/>
            <w:vAlign w:val="center"/>
          </w:tcPr>
          <w:p w14:paraId="2D983B7D">
            <w:pPr>
              <w:widowControl/>
              <w:spacing w:line="400" w:lineRule="exact"/>
              <w:jc w:val="center"/>
              <w:rPr>
                <w:rFonts w:hint="eastAsia" w:ascii="宋体" w:hAnsi="宋体" w:eastAsia="宋体" w:cs="宋体"/>
                <w:b/>
                <w:color w:val="auto"/>
                <w:kern w:val="0"/>
                <w:sz w:val="21"/>
                <w:szCs w:val="21"/>
                <w:highlight w:val="none"/>
                <w:lang w:val="en-US" w:eastAsia="zh-CN"/>
              </w:rPr>
            </w:pPr>
            <w:r>
              <w:rPr>
                <w:rFonts w:hint="eastAsia" w:ascii="宋体" w:hAnsi="宋体" w:eastAsia="宋体" w:cs="宋体"/>
                <w:b/>
                <w:color w:val="auto"/>
                <w:kern w:val="0"/>
                <w:sz w:val="21"/>
                <w:szCs w:val="21"/>
                <w:highlight w:val="none"/>
                <w:lang w:val="en-US" w:eastAsia="zh-CN"/>
              </w:rPr>
              <w:t>备注</w:t>
            </w:r>
          </w:p>
        </w:tc>
      </w:tr>
      <w:tr w14:paraId="3A3834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783" w:type="dxa"/>
            <w:noWrap/>
            <w:vAlign w:val="center"/>
          </w:tcPr>
          <w:p w14:paraId="62097E3D">
            <w:pPr>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483" w:type="dxa"/>
            <w:noWrap/>
            <w:vAlign w:val="center"/>
          </w:tcPr>
          <w:p w14:paraId="50D81BA2">
            <w:pPr>
              <w:widowControl/>
              <w:spacing w:line="400" w:lineRule="exact"/>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音乐教室1</w:t>
            </w:r>
          </w:p>
        </w:tc>
        <w:tc>
          <w:tcPr>
            <w:tcW w:w="2349" w:type="dxa"/>
            <w:noWrap/>
            <w:vAlign w:val="center"/>
          </w:tcPr>
          <w:p w14:paraId="633FBCA2">
            <w:pPr>
              <w:widowControl/>
              <w:spacing w:line="400" w:lineRule="exact"/>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纤维阻燃面料窗</w:t>
            </w:r>
            <w:r>
              <w:rPr>
                <w:rFonts w:hint="eastAsia" w:ascii="宋体" w:hAnsi="宋体" w:eastAsia="宋体" w:cs="宋体"/>
                <w:color w:val="auto"/>
                <w:kern w:val="0"/>
                <w:sz w:val="21"/>
                <w:szCs w:val="21"/>
                <w:highlight w:val="none"/>
              </w:rPr>
              <w:t>帘</w:t>
            </w:r>
          </w:p>
        </w:tc>
        <w:tc>
          <w:tcPr>
            <w:tcW w:w="1309" w:type="dxa"/>
            <w:noWrap/>
            <w:vAlign w:val="center"/>
          </w:tcPr>
          <w:p w14:paraId="62C6185B">
            <w:pPr>
              <w:widowControl/>
              <w:spacing w:line="400" w:lineRule="exact"/>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12*3</w:t>
            </w:r>
          </w:p>
        </w:tc>
        <w:tc>
          <w:tcPr>
            <w:tcW w:w="1244" w:type="dxa"/>
            <w:noWrap/>
            <w:vAlign w:val="center"/>
          </w:tcPr>
          <w:p w14:paraId="7C7F94B4">
            <w:pPr>
              <w:keepNext w:val="0"/>
              <w:keepLines w:val="0"/>
              <w:widowControl/>
              <w:suppressLineNumbers w:val="0"/>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36</w:t>
            </w:r>
          </w:p>
        </w:tc>
        <w:tc>
          <w:tcPr>
            <w:tcW w:w="919" w:type="dxa"/>
            <w:noWrap/>
            <w:vAlign w:val="center"/>
          </w:tcPr>
          <w:p w14:paraId="707BB034">
            <w:pPr>
              <w:widowControl/>
              <w:spacing w:line="40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w:t>
            </w:r>
          </w:p>
        </w:tc>
        <w:tc>
          <w:tcPr>
            <w:tcW w:w="989" w:type="dxa"/>
            <w:vMerge w:val="restart"/>
            <w:noWrap/>
            <w:vAlign w:val="center"/>
          </w:tcPr>
          <w:p w14:paraId="5A9669B3">
            <w:pPr>
              <w:widowControl/>
              <w:spacing w:line="400" w:lineRule="exact"/>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轨道</w:t>
            </w:r>
          </w:p>
        </w:tc>
      </w:tr>
      <w:tr w14:paraId="6292C9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783" w:type="dxa"/>
            <w:noWrap/>
            <w:vAlign w:val="center"/>
          </w:tcPr>
          <w:p w14:paraId="206F2723">
            <w:pPr>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483" w:type="dxa"/>
            <w:noWrap/>
            <w:vAlign w:val="center"/>
          </w:tcPr>
          <w:p w14:paraId="6D5BDC8E">
            <w:pPr>
              <w:widowControl/>
              <w:spacing w:line="400" w:lineRule="exact"/>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音乐教室2</w:t>
            </w:r>
          </w:p>
        </w:tc>
        <w:tc>
          <w:tcPr>
            <w:tcW w:w="2349" w:type="dxa"/>
            <w:noWrap/>
            <w:vAlign w:val="center"/>
          </w:tcPr>
          <w:p w14:paraId="607E7B4D">
            <w:pPr>
              <w:widowControl/>
              <w:spacing w:line="40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纤维阻燃面料窗</w:t>
            </w:r>
            <w:r>
              <w:rPr>
                <w:rFonts w:hint="eastAsia" w:ascii="宋体" w:hAnsi="宋体" w:eastAsia="宋体" w:cs="宋体"/>
                <w:color w:val="auto"/>
                <w:kern w:val="0"/>
                <w:sz w:val="21"/>
                <w:szCs w:val="21"/>
                <w:highlight w:val="none"/>
              </w:rPr>
              <w:t>帘</w:t>
            </w:r>
          </w:p>
        </w:tc>
        <w:tc>
          <w:tcPr>
            <w:tcW w:w="1309" w:type="dxa"/>
            <w:noWrap/>
            <w:vAlign w:val="center"/>
          </w:tcPr>
          <w:p w14:paraId="735E6BB9">
            <w:pPr>
              <w:widowControl/>
              <w:spacing w:line="40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12*3</w:t>
            </w:r>
          </w:p>
        </w:tc>
        <w:tc>
          <w:tcPr>
            <w:tcW w:w="1244" w:type="dxa"/>
            <w:noWrap/>
            <w:vAlign w:val="center"/>
          </w:tcPr>
          <w:p w14:paraId="23C7EB4F">
            <w:pPr>
              <w:keepNext w:val="0"/>
              <w:keepLines w:val="0"/>
              <w:widowControl/>
              <w:suppressLineNumbers w:val="0"/>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36</w:t>
            </w:r>
          </w:p>
        </w:tc>
        <w:tc>
          <w:tcPr>
            <w:tcW w:w="919" w:type="dxa"/>
            <w:noWrap/>
            <w:vAlign w:val="center"/>
          </w:tcPr>
          <w:p w14:paraId="2BC5A7A2">
            <w:pPr>
              <w:widowControl/>
              <w:spacing w:line="40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w:t>
            </w:r>
          </w:p>
        </w:tc>
        <w:tc>
          <w:tcPr>
            <w:tcW w:w="989" w:type="dxa"/>
            <w:vMerge w:val="continue"/>
            <w:noWrap/>
            <w:vAlign w:val="center"/>
          </w:tcPr>
          <w:p w14:paraId="67DA5A66">
            <w:pPr>
              <w:widowControl/>
              <w:spacing w:line="400" w:lineRule="exact"/>
              <w:jc w:val="center"/>
              <w:rPr>
                <w:rFonts w:hint="eastAsia" w:ascii="宋体" w:hAnsi="宋体" w:eastAsia="宋体" w:cs="宋体"/>
                <w:color w:val="auto"/>
                <w:kern w:val="0"/>
                <w:sz w:val="21"/>
                <w:szCs w:val="21"/>
                <w:highlight w:val="none"/>
              </w:rPr>
            </w:pPr>
          </w:p>
        </w:tc>
      </w:tr>
      <w:tr w14:paraId="73F77E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jc w:val="center"/>
        </w:trPr>
        <w:tc>
          <w:tcPr>
            <w:tcW w:w="783" w:type="dxa"/>
            <w:noWrap/>
            <w:vAlign w:val="center"/>
          </w:tcPr>
          <w:p w14:paraId="208BA6B3">
            <w:pPr>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1483" w:type="dxa"/>
            <w:noWrap/>
            <w:vAlign w:val="center"/>
          </w:tcPr>
          <w:p w14:paraId="6B9501D8">
            <w:pPr>
              <w:widowControl/>
              <w:spacing w:line="400" w:lineRule="exact"/>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钢琴教室1</w:t>
            </w:r>
          </w:p>
        </w:tc>
        <w:tc>
          <w:tcPr>
            <w:tcW w:w="2349" w:type="dxa"/>
            <w:noWrap/>
            <w:vAlign w:val="center"/>
          </w:tcPr>
          <w:p w14:paraId="6346C8DA">
            <w:pPr>
              <w:widowControl/>
              <w:spacing w:line="40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纤维阻燃面料窗</w:t>
            </w:r>
            <w:r>
              <w:rPr>
                <w:rFonts w:hint="eastAsia" w:ascii="宋体" w:hAnsi="宋体" w:eastAsia="宋体" w:cs="宋体"/>
                <w:color w:val="auto"/>
                <w:kern w:val="0"/>
                <w:sz w:val="21"/>
                <w:szCs w:val="21"/>
                <w:highlight w:val="none"/>
              </w:rPr>
              <w:t>帘</w:t>
            </w:r>
          </w:p>
        </w:tc>
        <w:tc>
          <w:tcPr>
            <w:tcW w:w="1309" w:type="dxa"/>
            <w:noWrap/>
            <w:vAlign w:val="center"/>
          </w:tcPr>
          <w:p w14:paraId="0C206859">
            <w:pPr>
              <w:widowControl/>
              <w:spacing w:line="400" w:lineRule="exact"/>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10*3</w:t>
            </w:r>
          </w:p>
        </w:tc>
        <w:tc>
          <w:tcPr>
            <w:tcW w:w="1244" w:type="dxa"/>
            <w:noWrap/>
            <w:vAlign w:val="center"/>
          </w:tcPr>
          <w:p w14:paraId="063FC893">
            <w:pPr>
              <w:keepNext w:val="0"/>
              <w:keepLines w:val="0"/>
              <w:widowControl/>
              <w:suppressLineNumbers w:val="0"/>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30</w:t>
            </w:r>
          </w:p>
        </w:tc>
        <w:tc>
          <w:tcPr>
            <w:tcW w:w="919" w:type="dxa"/>
            <w:noWrap/>
            <w:vAlign w:val="center"/>
          </w:tcPr>
          <w:p w14:paraId="43164549">
            <w:pPr>
              <w:widowControl/>
              <w:spacing w:line="40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w:t>
            </w:r>
          </w:p>
        </w:tc>
        <w:tc>
          <w:tcPr>
            <w:tcW w:w="989" w:type="dxa"/>
            <w:vMerge w:val="continue"/>
            <w:noWrap/>
            <w:vAlign w:val="center"/>
          </w:tcPr>
          <w:p w14:paraId="7DB41ED3">
            <w:pPr>
              <w:widowControl/>
              <w:spacing w:line="400" w:lineRule="exact"/>
              <w:jc w:val="center"/>
              <w:rPr>
                <w:rFonts w:hint="eastAsia" w:ascii="宋体" w:hAnsi="宋体" w:eastAsia="宋体" w:cs="宋体"/>
                <w:color w:val="auto"/>
                <w:kern w:val="0"/>
                <w:sz w:val="21"/>
                <w:szCs w:val="21"/>
                <w:highlight w:val="none"/>
              </w:rPr>
            </w:pPr>
          </w:p>
        </w:tc>
      </w:tr>
      <w:tr w14:paraId="426E07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783" w:type="dxa"/>
            <w:noWrap/>
            <w:vAlign w:val="center"/>
          </w:tcPr>
          <w:p w14:paraId="32A5DA52">
            <w:pPr>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p>
        </w:tc>
        <w:tc>
          <w:tcPr>
            <w:tcW w:w="1483" w:type="dxa"/>
            <w:noWrap/>
            <w:vAlign w:val="center"/>
          </w:tcPr>
          <w:p w14:paraId="04BE5AD0">
            <w:pPr>
              <w:widowControl/>
              <w:spacing w:line="400" w:lineRule="exact"/>
              <w:jc w:val="center"/>
              <w:rPr>
                <w:rFonts w:hint="eastAsia" w:ascii="宋体" w:hAnsi="宋体" w:eastAsia="宋体" w:cs="宋体"/>
                <w:color w:val="auto"/>
                <w:kern w:val="0"/>
                <w:sz w:val="21"/>
                <w:szCs w:val="21"/>
                <w:highlight w:val="none"/>
                <w:lang w:val="en-US"/>
              </w:rPr>
            </w:pPr>
            <w:r>
              <w:rPr>
                <w:rFonts w:hint="eastAsia" w:ascii="宋体" w:hAnsi="宋体" w:eastAsia="宋体" w:cs="宋体"/>
                <w:color w:val="auto"/>
                <w:kern w:val="0"/>
                <w:sz w:val="21"/>
                <w:szCs w:val="21"/>
                <w:highlight w:val="none"/>
                <w:lang w:val="en-US" w:eastAsia="zh-CN"/>
              </w:rPr>
              <w:t>钢琴教室2</w:t>
            </w:r>
          </w:p>
        </w:tc>
        <w:tc>
          <w:tcPr>
            <w:tcW w:w="2349" w:type="dxa"/>
            <w:noWrap/>
            <w:vAlign w:val="center"/>
          </w:tcPr>
          <w:p w14:paraId="62C738D4">
            <w:pPr>
              <w:widowControl/>
              <w:spacing w:line="40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纤维阻燃面料窗</w:t>
            </w:r>
            <w:r>
              <w:rPr>
                <w:rFonts w:hint="eastAsia" w:ascii="宋体" w:hAnsi="宋体" w:eastAsia="宋体" w:cs="宋体"/>
                <w:color w:val="auto"/>
                <w:kern w:val="0"/>
                <w:sz w:val="21"/>
                <w:szCs w:val="21"/>
                <w:highlight w:val="none"/>
              </w:rPr>
              <w:t>帘</w:t>
            </w:r>
          </w:p>
        </w:tc>
        <w:tc>
          <w:tcPr>
            <w:tcW w:w="1309" w:type="dxa"/>
            <w:noWrap/>
            <w:vAlign w:val="center"/>
          </w:tcPr>
          <w:p w14:paraId="1401D34D">
            <w:pPr>
              <w:widowControl/>
              <w:spacing w:line="400" w:lineRule="exact"/>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11*3</w:t>
            </w:r>
          </w:p>
        </w:tc>
        <w:tc>
          <w:tcPr>
            <w:tcW w:w="1244" w:type="dxa"/>
            <w:noWrap/>
            <w:vAlign w:val="center"/>
          </w:tcPr>
          <w:p w14:paraId="30A936B7">
            <w:pPr>
              <w:keepNext w:val="0"/>
              <w:keepLines w:val="0"/>
              <w:widowControl/>
              <w:suppressLineNumbers w:val="0"/>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34.5</w:t>
            </w:r>
          </w:p>
        </w:tc>
        <w:tc>
          <w:tcPr>
            <w:tcW w:w="919" w:type="dxa"/>
            <w:noWrap/>
            <w:vAlign w:val="center"/>
          </w:tcPr>
          <w:p w14:paraId="1359983A">
            <w:pPr>
              <w:widowControl/>
              <w:spacing w:line="400" w:lineRule="exact"/>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rPr>
              <w:t>㎡</w:t>
            </w:r>
          </w:p>
        </w:tc>
        <w:tc>
          <w:tcPr>
            <w:tcW w:w="989" w:type="dxa"/>
            <w:vMerge w:val="continue"/>
            <w:noWrap/>
            <w:vAlign w:val="center"/>
          </w:tcPr>
          <w:p w14:paraId="1F6D5ACE">
            <w:pPr>
              <w:widowControl/>
              <w:spacing w:line="400" w:lineRule="exact"/>
              <w:jc w:val="center"/>
              <w:rPr>
                <w:rFonts w:hint="eastAsia" w:ascii="宋体" w:hAnsi="宋体" w:eastAsia="宋体" w:cs="宋体"/>
                <w:color w:val="auto"/>
                <w:kern w:val="0"/>
                <w:sz w:val="21"/>
                <w:szCs w:val="21"/>
                <w:highlight w:val="none"/>
              </w:rPr>
            </w:pPr>
          </w:p>
        </w:tc>
      </w:tr>
      <w:tr w14:paraId="2B82DA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jc w:val="center"/>
        </w:trPr>
        <w:tc>
          <w:tcPr>
            <w:tcW w:w="783" w:type="dxa"/>
            <w:noWrap/>
            <w:vAlign w:val="center"/>
          </w:tcPr>
          <w:p w14:paraId="23D088F2">
            <w:pPr>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p>
        </w:tc>
        <w:tc>
          <w:tcPr>
            <w:tcW w:w="1483" w:type="dxa"/>
            <w:noWrap/>
            <w:vAlign w:val="center"/>
          </w:tcPr>
          <w:p w14:paraId="36629756">
            <w:pPr>
              <w:widowControl/>
              <w:spacing w:line="400" w:lineRule="exact"/>
              <w:jc w:val="center"/>
              <w:rPr>
                <w:rFonts w:hint="eastAsia" w:ascii="宋体" w:hAnsi="宋体" w:eastAsia="宋体" w:cs="宋体"/>
                <w:color w:val="auto"/>
                <w:kern w:val="0"/>
                <w:sz w:val="21"/>
                <w:szCs w:val="21"/>
                <w:highlight w:val="none"/>
                <w:lang w:val="en-US"/>
              </w:rPr>
            </w:pPr>
            <w:r>
              <w:rPr>
                <w:rFonts w:hint="eastAsia" w:ascii="宋体" w:hAnsi="宋体" w:eastAsia="宋体" w:cs="宋体"/>
                <w:color w:val="auto"/>
                <w:kern w:val="0"/>
                <w:sz w:val="21"/>
                <w:szCs w:val="21"/>
                <w:highlight w:val="none"/>
                <w:lang w:val="en-US" w:eastAsia="zh-CN"/>
              </w:rPr>
              <w:t>钢琴教室3</w:t>
            </w:r>
          </w:p>
        </w:tc>
        <w:tc>
          <w:tcPr>
            <w:tcW w:w="2349" w:type="dxa"/>
            <w:noWrap/>
            <w:vAlign w:val="center"/>
          </w:tcPr>
          <w:p w14:paraId="1DC42A77">
            <w:pPr>
              <w:widowControl/>
              <w:spacing w:line="40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纤维阻燃面料窗</w:t>
            </w:r>
            <w:r>
              <w:rPr>
                <w:rFonts w:hint="eastAsia" w:ascii="宋体" w:hAnsi="宋体" w:eastAsia="宋体" w:cs="宋体"/>
                <w:color w:val="auto"/>
                <w:kern w:val="0"/>
                <w:sz w:val="21"/>
                <w:szCs w:val="21"/>
                <w:highlight w:val="none"/>
              </w:rPr>
              <w:t>帘</w:t>
            </w:r>
          </w:p>
        </w:tc>
        <w:tc>
          <w:tcPr>
            <w:tcW w:w="1309" w:type="dxa"/>
            <w:noWrap/>
            <w:vAlign w:val="center"/>
          </w:tcPr>
          <w:p w14:paraId="393EAB5C">
            <w:pPr>
              <w:widowControl/>
              <w:spacing w:line="400" w:lineRule="exact"/>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8.5*3</w:t>
            </w:r>
          </w:p>
        </w:tc>
        <w:tc>
          <w:tcPr>
            <w:tcW w:w="1244" w:type="dxa"/>
            <w:noWrap/>
            <w:vAlign w:val="center"/>
          </w:tcPr>
          <w:p w14:paraId="13B05526">
            <w:pPr>
              <w:keepNext w:val="0"/>
              <w:keepLines w:val="0"/>
              <w:widowControl/>
              <w:suppressLineNumbers w:val="0"/>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25.5</w:t>
            </w:r>
          </w:p>
        </w:tc>
        <w:tc>
          <w:tcPr>
            <w:tcW w:w="919" w:type="dxa"/>
            <w:noWrap/>
            <w:vAlign w:val="center"/>
          </w:tcPr>
          <w:p w14:paraId="5B9D78F6">
            <w:pPr>
              <w:widowControl/>
              <w:spacing w:line="40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w:t>
            </w:r>
          </w:p>
        </w:tc>
        <w:tc>
          <w:tcPr>
            <w:tcW w:w="989" w:type="dxa"/>
            <w:vMerge w:val="continue"/>
            <w:noWrap/>
            <w:vAlign w:val="center"/>
          </w:tcPr>
          <w:p w14:paraId="60300154">
            <w:pPr>
              <w:widowControl/>
              <w:spacing w:line="400" w:lineRule="exact"/>
              <w:jc w:val="center"/>
              <w:rPr>
                <w:rFonts w:hint="eastAsia" w:ascii="宋体" w:hAnsi="宋体" w:eastAsia="宋体" w:cs="宋体"/>
                <w:color w:val="auto"/>
                <w:kern w:val="0"/>
                <w:sz w:val="21"/>
                <w:szCs w:val="21"/>
                <w:highlight w:val="none"/>
              </w:rPr>
            </w:pPr>
          </w:p>
        </w:tc>
      </w:tr>
      <w:tr w14:paraId="2A5DEE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783" w:type="dxa"/>
            <w:noWrap/>
            <w:vAlign w:val="center"/>
          </w:tcPr>
          <w:p w14:paraId="18D60F9F">
            <w:pPr>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w:t>
            </w:r>
          </w:p>
        </w:tc>
        <w:tc>
          <w:tcPr>
            <w:tcW w:w="1483" w:type="dxa"/>
            <w:noWrap/>
            <w:vAlign w:val="center"/>
          </w:tcPr>
          <w:p w14:paraId="737BDAE1">
            <w:pPr>
              <w:widowControl/>
              <w:spacing w:line="400" w:lineRule="exact"/>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公共教室1</w:t>
            </w:r>
          </w:p>
        </w:tc>
        <w:tc>
          <w:tcPr>
            <w:tcW w:w="2349" w:type="dxa"/>
            <w:noWrap/>
            <w:vAlign w:val="center"/>
          </w:tcPr>
          <w:p w14:paraId="1DA20E0D">
            <w:pPr>
              <w:widowControl/>
              <w:spacing w:line="400" w:lineRule="exact"/>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纤维阻燃面料窗帘</w:t>
            </w:r>
          </w:p>
        </w:tc>
        <w:tc>
          <w:tcPr>
            <w:tcW w:w="1309" w:type="dxa"/>
            <w:noWrap/>
            <w:vAlign w:val="center"/>
          </w:tcPr>
          <w:p w14:paraId="126DADF9">
            <w:pPr>
              <w:widowControl/>
              <w:spacing w:line="400" w:lineRule="exact"/>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25*5</w:t>
            </w:r>
          </w:p>
        </w:tc>
        <w:tc>
          <w:tcPr>
            <w:tcW w:w="1244" w:type="dxa"/>
            <w:noWrap/>
            <w:vAlign w:val="center"/>
          </w:tcPr>
          <w:p w14:paraId="3B507B40">
            <w:pPr>
              <w:keepNext w:val="0"/>
              <w:keepLines w:val="0"/>
              <w:widowControl/>
              <w:suppressLineNumbers w:val="0"/>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125</w:t>
            </w:r>
          </w:p>
        </w:tc>
        <w:tc>
          <w:tcPr>
            <w:tcW w:w="919" w:type="dxa"/>
            <w:noWrap/>
            <w:vAlign w:val="center"/>
          </w:tcPr>
          <w:p w14:paraId="0BEDF616">
            <w:pPr>
              <w:widowControl/>
              <w:spacing w:line="40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w:t>
            </w:r>
          </w:p>
        </w:tc>
        <w:tc>
          <w:tcPr>
            <w:tcW w:w="989" w:type="dxa"/>
            <w:vMerge w:val="restart"/>
            <w:noWrap/>
            <w:vAlign w:val="center"/>
          </w:tcPr>
          <w:p w14:paraId="37579050">
            <w:pPr>
              <w:widowControl/>
              <w:spacing w:line="400" w:lineRule="exact"/>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罗马杆</w:t>
            </w:r>
          </w:p>
        </w:tc>
      </w:tr>
      <w:tr w14:paraId="2DE8CB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783" w:type="dxa"/>
            <w:noWrap/>
            <w:vAlign w:val="center"/>
          </w:tcPr>
          <w:p w14:paraId="19AA4E60">
            <w:pPr>
              <w:spacing w:line="40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w:t>
            </w:r>
          </w:p>
        </w:tc>
        <w:tc>
          <w:tcPr>
            <w:tcW w:w="1483" w:type="dxa"/>
            <w:noWrap/>
            <w:vAlign w:val="center"/>
          </w:tcPr>
          <w:p w14:paraId="6AE15E8F">
            <w:pPr>
              <w:widowControl/>
              <w:spacing w:line="40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公共教室2</w:t>
            </w:r>
          </w:p>
        </w:tc>
        <w:tc>
          <w:tcPr>
            <w:tcW w:w="2349" w:type="dxa"/>
            <w:noWrap/>
            <w:vAlign w:val="center"/>
          </w:tcPr>
          <w:p w14:paraId="50B5BACB">
            <w:pPr>
              <w:widowControl/>
              <w:spacing w:line="400" w:lineRule="exact"/>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纤维阻燃面料窗帘</w:t>
            </w:r>
          </w:p>
        </w:tc>
        <w:tc>
          <w:tcPr>
            <w:tcW w:w="1309" w:type="dxa"/>
            <w:noWrap/>
            <w:vAlign w:val="center"/>
          </w:tcPr>
          <w:p w14:paraId="740DD314">
            <w:pPr>
              <w:widowControl/>
              <w:spacing w:line="400" w:lineRule="exact"/>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17*5.2</w:t>
            </w:r>
          </w:p>
        </w:tc>
        <w:tc>
          <w:tcPr>
            <w:tcW w:w="1244" w:type="dxa"/>
            <w:noWrap/>
            <w:vAlign w:val="center"/>
          </w:tcPr>
          <w:p w14:paraId="2E79593E">
            <w:pPr>
              <w:keepNext w:val="0"/>
              <w:keepLines w:val="0"/>
              <w:widowControl/>
              <w:suppressLineNumbers w:val="0"/>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88.4</w:t>
            </w:r>
          </w:p>
        </w:tc>
        <w:tc>
          <w:tcPr>
            <w:tcW w:w="919" w:type="dxa"/>
            <w:noWrap/>
            <w:vAlign w:val="center"/>
          </w:tcPr>
          <w:p w14:paraId="45EC671B">
            <w:pPr>
              <w:widowControl/>
              <w:spacing w:line="400" w:lineRule="exact"/>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rPr>
              <w:t>㎡</w:t>
            </w:r>
          </w:p>
        </w:tc>
        <w:tc>
          <w:tcPr>
            <w:tcW w:w="989" w:type="dxa"/>
            <w:vMerge w:val="continue"/>
            <w:noWrap/>
            <w:vAlign w:val="center"/>
          </w:tcPr>
          <w:p w14:paraId="6AAA1917">
            <w:pPr>
              <w:widowControl/>
              <w:spacing w:line="400" w:lineRule="exact"/>
              <w:jc w:val="center"/>
              <w:rPr>
                <w:rFonts w:hint="eastAsia" w:ascii="宋体" w:hAnsi="宋体" w:eastAsia="宋体" w:cs="宋体"/>
                <w:color w:val="auto"/>
                <w:kern w:val="0"/>
                <w:sz w:val="21"/>
                <w:szCs w:val="21"/>
                <w:highlight w:val="none"/>
              </w:rPr>
            </w:pPr>
          </w:p>
        </w:tc>
      </w:tr>
      <w:tr w14:paraId="1BD8B5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jc w:val="center"/>
        </w:trPr>
        <w:tc>
          <w:tcPr>
            <w:tcW w:w="783" w:type="dxa"/>
            <w:noWrap/>
            <w:vAlign w:val="center"/>
          </w:tcPr>
          <w:p w14:paraId="76D63034">
            <w:pPr>
              <w:spacing w:line="40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8</w:t>
            </w:r>
          </w:p>
        </w:tc>
        <w:tc>
          <w:tcPr>
            <w:tcW w:w="1483" w:type="dxa"/>
            <w:noWrap/>
            <w:vAlign w:val="center"/>
          </w:tcPr>
          <w:p w14:paraId="29201A62">
            <w:pPr>
              <w:widowControl/>
              <w:spacing w:line="40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公共教室3</w:t>
            </w:r>
          </w:p>
        </w:tc>
        <w:tc>
          <w:tcPr>
            <w:tcW w:w="2349" w:type="dxa"/>
            <w:noWrap/>
            <w:vAlign w:val="center"/>
          </w:tcPr>
          <w:p w14:paraId="5CE37133">
            <w:pPr>
              <w:widowControl/>
              <w:spacing w:line="400" w:lineRule="exact"/>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纤维阻燃面料窗帘</w:t>
            </w:r>
          </w:p>
        </w:tc>
        <w:tc>
          <w:tcPr>
            <w:tcW w:w="1309" w:type="dxa"/>
            <w:noWrap/>
            <w:vAlign w:val="center"/>
          </w:tcPr>
          <w:p w14:paraId="1E0FC3F2">
            <w:pPr>
              <w:widowControl/>
              <w:spacing w:line="400" w:lineRule="exact"/>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17*5.2</w:t>
            </w:r>
          </w:p>
        </w:tc>
        <w:tc>
          <w:tcPr>
            <w:tcW w:w="1244" w:type="dxa"/>
            <w:noWrap/>
            <w:vAlign w:val="center"/>
          </w:tcPr>
          <w:p w14:paraId="4CB30AEF">
            <w:pPr>
              <w:keepNext w:val="0"/>
              <w:keepLines w:val="0"/>
              <w:widowControl/>
              <w:suppressLineNumbers w:val="0"/>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88.4</w:t>
            </w:r>
          </w:p>
        </w:tc>
        <w:tc>
          <w:tcPr>
            <w:tcW w:w="919" w:type="dxa"/>
            <w:noWrap/>
            <w:vAlign w:val="center"/>
          </w:tcPr>
          <w:p w14:paraId="5454B793">
            <w:pPr>
              <w:widowControl/>
              <w:spacing w:line="400" w:lineRule="exact"/>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rPr>
              <w:t>㎡</w:t>
            </w:r>
          </w:p>
        </w:tc>
        <w:tc>
          <w:tcPr>
            <w:tcW w:w="989" w:type="dxa"/>
            <w:vMerge w:val="continue"/>
            <w:noWrap/>
            <w:vAlign w:val="center"/>
          </w:tcPr>
          <w:p w14:paraId="75F3BB65">
            <w:pPr>
              <w:widowControl/>
              <w:spacing w:line="400" w:lineRule="exact"/>
              <w:jc w:val="center"/>
              <w:rPr>
                <w:rFonts w:hint="eastAsia" w:ascii="宋体" w:hAnsi="宋体" w:eastAsia="宋体" w:cs="宋体"/>
                <w:color w:val="auto"/>
                <w:kern w:val="0"/>
                <w:sz w:val="21"/>
                <w:szCs w:val="21"/>
                <w:highlight w:val="none"/>
              </w:rPr>
            </w:pPr>
          </w:p>
        </w:tc>
      </w:tr>
      <w:tr w14:paraId="5B5BB5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783" w:type="dxa"/>
            <w:noWrap/>
            <w:vAlign w:val="center"/>
          </w:tcPr>
          <w:p w14:paraId="246BA6E7">
            <w:pPr>
              <w:spacing w:line="40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9</w:t>
            </w:r>
          </w:p>
        </w:tc>
        <w:tc>
          <w:tcPr>
            <w:tcW w:w="1483" w:type="dxa"/>
            <w:noWrap/>
            <w:vAlign w:val="center"/>
          </w:tcPr>
          <w:p w14:paraId="043DD168">
            <w:pPr>
              <w:widowControl/>
              <w:spacing w:line="400" w:lineRule="exact"/>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北楼一楼梯间</w:t>
            </w:r>
          </w:p>
        </w:tc>
        <w:tc>
          <w:tcPr>
            <w:tcW w:w="2349" w:type="dxa"/>
            <w:noWrap/>
            <w:vAlign w:val="center"/>
          </w:tcPr>
          <w:p w14:paraId="6F31E8FB">
            <w:pPr>
              <w:widowControl/>
              <w:spacing w:line="400" w:lineRule="exact"/>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纤维阻燃面料窗帘</w:t>
            </w:r>
          </w:p>
        </w:tc>
        <w:tc>
          <w:tcPr>
            <w:tcW w:w="1309" w:type="dxa"/>
            <w:noWrap/>
            <w:vAlign w:val="center"/>
          </w:tcPr>
          <w:p w14:paraId="78E23F59">
            <w:pPr>
              <w:widowControl/>
              <w:spacing w:line="400" w:lineRule="exact"/>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13.5*3.7</w:t>
            </w:r>
          </w:p>
        </w:tc>
        <w:tc>
          <w:tcPr>
            <w:tcW w:w="1244" w:type="dxa"/>
            <w:noWrap/>
            <w:vAlign w:val="center"/>
          </w:tcPr>
          <w:p w14:paraId="3BB67D81">
            <w:pPr>
              <w:keepNext w:val="0"/>
              <w:keepLines w:val="0"/>
              <w:widowControl/>
              <w:suppressLineNumbers w:val="0"/>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49.95</w:t>
            </w:r>
          </w:p>
        </w:tc>
        <w:tc>
          <w:tcPr>
            <w:tcW w:w="919" w:type="dxa"/>
            <w:noWrap/>
            <w:vAlign w:val="center"/>
          </w:tcPr>
          <w:p w14:paraId="155DC83F">
            <w:pPr>
              <w:widowControl/>
              <w:spacing w:line="400" w:lineRule="exact"/>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w:t>
            </w:r>
          </w:p>
        </w:tc>
        <w:tc>
          <w:tcPr>
            <w:tcW w:w="989" w:type="dxa"/>
            <w:vMerge w:val="continue"/>
            <w:noWrap/>
            <w:vAlign w:val="center"/>
          </w:tcPr>
          <w:p w14:paraId="62BCDCA9">
            <w:pPr>
              <w:widowControl/>
              <w:spacing w:line="400" w:lineRule="exact"/>
              <w:jc w:val="center"/>
              <w:rPr>
                <w:rFonts w:hint="eastAsia" w:ascii="宋体" w:hAnsi="宋体" w:eastAsia="宋体" w:cs="宋体"/>
                <w:color w:val="auto"/>
                <w:kern w:val="0"/>
                <w:sz w:val="21"/>
                <w:szCs w:val="21"/>
                <w:highlight w:val="none"/>
                <w:lang w:val="en-US" w:eastAsia="zh-CN"/>
              </w:rPr>
            </w:pPr>
          </w:p>
        </w:tc>
      </w:tr>
      <w:tr w14:paraId="0F7031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1" w:hRule="atLeast"/>
          <w:jc w:val="center"/>
        </w:trPr>
        <w:tc>
          <w:tcPr>
            <w:tcW w:w="783" w:type="dxa"/>
            <w:noWrap/>
            <w:vAlign w:val="center"/>
          </w:tcPr>
          <w:p w14:paraId="313563D7">
            <w:pPr>
              <w:spacing w:line="40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10</w:t>
            </w:r>
          </w:p>
        </w:tc>
        <w:tc>
          <w:tcPr>
            <w:tcW w:w="1483" w:type="dxa"/>
            <w:noWrap/>
            <w:vAlign w:val="center"/>
          </w:tcPr>
          <w:p w14:paraId="0D616CA4">
            <w:pPr>
              <w:widowControl/>
              <w:spacing w:line="400" w:lineRule="exact"/>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北楼一楼东边教室</w:t>
            </w:r>
          </w:p>
        </w:tc>
        <w:tc>
          <w:tcPr>
            <w:tcW w:w="2349" w:type="dxa"/>
            <w:noWrap/>
            <w:vAlign w:val="center"/>
          </w:tcPr>
          <w:p w14:paraId="419DCF1C">
            <w:pPr>
              <w:widowControl/>
              <w:spacing w:line="400" w:lineRule="exact"/>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纤维阻燃面料窗帘</w:t>
            </w:r>
          </w:p>
        </w:tc>
        <w:tc>
          <w:tcPr>
            <w:tcW w:w="1309" w:type="dxa"/>
            <w:noWrap/>
            <w:vAlign w:val="center"/>
          </w:tcPr>
          <w:p w14:paraId="277AED52">
            <w:pPr>
              <w:widowControl/>
              <w:spacing w:line="400" w:lineRule="exact"/>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10.20*4.5</w:t>
            </w:r>
          </w:p>
        </w:tc>
        <w:tc>
          <w:tcPr>
            <w:tcW w:w="1244" w:type="dxa"/>
            <w:noWrap/>
            <w:vAlign w:val="center"/>
          </w:tcPr>
          <w:p w14:paraId="0905DE82">
            <w:pPr>
              <w:keepNext w:val="0"/>
              <w:keepLines w:val="0"/>
              <w:widowControl/>
              <w:suppressLineNumbers w:val="0"/>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45.9</w:t>
            </w:r>
          </w:p>
        </w:tc>
        <w:tc>
          <w:tcPr>
            <w:tcW w:w="919" w:type="dxa"/>
            <w:noWrap/>
            <w:vAlign w:val="center"/>
          </w:tcPr>
          <w:p w14:paraId="2D6B369D">
            <w:pPr>
              <w:widowControl/>
              <w:spacing w:line="400" w:lineRule="exact"/>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w:t>
            </w:r>
          </w:p>
        </w:tc>
        <w:tc>
          <w:tcPr>
            <w:tcW w:w="989" w:type="dxa"/>
            <w:vMerge w:val="continue"/>
            <w:noWrap/>
            <w:vAlign w:val="center"/>
          </w:tcPr>
          <w:p w14:paraId="24801585">
            <w:pPr>
              <w:widowControl/>
              <w:spacing w:line="400" w:lineRule="exact"/>
              <w:jc w:val="center"/>
              <w:rPr>
                <w:rFonts w:hint="eastAsia" w:ascii="宋体" w:hAnsi="宋体" w:eastAsia="宋体" w:cs="宋体"/>
                <w:color w:val="auto"/>
                <w:kern w:val="0"/>
                <w:sz w:val="21"/>
                <w:szCs w:val="21"/>
                <w:highlight w:val="none"/>
                <w:lang w:val="en-US" w:eastAsia="zh-CN"/>
              </w:rPr>
            </w:pPr>
          </w:p>
        </w:tc>
      </w:tr>
      <w:tr w14:paraId="540358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1" w:hRule="atLeast"/>
          <w:jc w:val="center"/>
        </w:trPr>
        <w:tc>
          <w:tcPr>
            <w:tcW w:w="783" w:type="dxa"/>
            <w:noWrap/>
            <w:vAlign w:val="center"/>
          </w:tcPr>
          <w:p w14:paraId="0008704E">
            <w:pPr>
              <w:spacing w:line="400" w:lineRule="exact"/>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11</w:t>
            </w:r>
          </w:p>
        </w:tc>
        <w:tc>
          <w:tcPr>
            <w:tcW w:w="1483" w:type="dxa"/>
            <w:noWrap/>
            <w:vAlign w:val="center"/>
          </w:tcPr>
          <w:p w14:paraId="434EB8C0">
            <w:pPr>
              <w:widowControl/>
              <w:spacing w:line="400" w:lineRule="exact"/>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rPr>
              <w:t>公共教室2-3过道</w:t>
            </w:r>
          </w:p>
        </w:tc>
        <w:tc>
          <w:tcPr>
            <w:tcW w:w="2349" w:type="dxa"/>
            <w:noWrap/>
            <w:vAlign w:val="center"/>
          </w:tcPr>
          <w:p w14:paraId="5D6D44FA">
            <w:pPr>
              <w:widowControl/>
              <w:spacing w:line="400" w:lineRule="exact"/>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rPr>
              <w:t>阻燃卷帘</w:t>
            </w:r>
          </w:p>
        </w:tc>
        <w:tc>
          <w:tcPr>
            <w:tcW w:w="1309" w:type="dxa"/>
            <w:noWrap/>
            <w:vAlign w:val="center"/>
          </w:tcPr>
          <w:p w14:paraId="316BAA78">
            <w:pPr>
              <w:widowControl/>
              <w:spacing w:line="400" w:lineRule="exact"/>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rPr>
              <w:t>4*5.2</w:t>
            </w:r>
          </w:p>
        </w:tc>
        <w:tc>
          <w:tcPr>
            <w:tcW w:w="1244" w:type="dxa"/>
            <w:noWrap/>
            <w:vAlign w:val="center"/>
          </w:tcPr>
          <w:p w14:paraId="64A6E417">
            <w:pPr>
              <w:keepNext w:val="0"/>
              <w:keepLines w:val="0"/>
              <w:widowControl/>
              <w:suppressLineNumbers w:val="0"/>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20.8</w:t>
            </w:r>
          </w:p>
        </w:tc>
        <w:tc>
          <w:tcPr>
            <w:tcW w:w="919" w:type="dxa"/>
            <w:noWrap/>
            <w:vAlign w:val="center"/>
          </w:tcPr>
          <w:p w14:paraId="3D59F941">
            <w:pPr>
              <w:widowControl/>
              <w:spacing w:line="400" w:lineRule="exact"/>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w:t>
            </w:r>
          </w:p>
        </w:tc>
        <w:tc>
          <w:tcPr>
            <w:tcW w:w="989" w:type="dxa"/>
            <w:noWrap/>
            <w:vAlign w:val="center"/>
          </w:tcPr>
          <w:p w14:paraId="1E90B391">
            <w:pPr>
              <w:widowControl/>
              <w:spacing w:line="400" w:lineRule="exact"/>
              <w:jc w:val="center"/>
              <w:rPr>
                <w:rFonts w:hint="eastAsia" w:ascii="宋体" w:hAnsi="宋体" w:eastAsia="宋体" w:cs="宋体"/>
                <w:color w:val="auto"/>
                <w:kern w:val="0"/>
                <w:sz w:val="21"/>
                <w:szCs w:val="21"/>
                <w:highlight w:val="none"/>
                <w:lang w:val="en-US" w:eastAsia="zh-CN"/>
              </w:rPr>
            </w:pPr>
          </w:p>
        </w:tc>
      </w:tr>
      <w:tr w14:paraId="254326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783" w:type="dxa"/>
            <w:noWrap/>
            <w:vAlign w:val="center"/>
          </w:tcPr>
          <w:p w14:paraId="543AFF32">
            <w:pPr>
              <w:spacing w:line="400" w:lineRule="exact"/>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12</w:t>
            </w:r>
          </w:p>
        </w:tc>
        <w:tc>
          <w:tcPr>
            <w:tcW w:w="1483" w:type="dxa"/>
            <w:noWrap/>
            <w:vAlign w:val="center"/>
          </w:tcPr>
          <w:p w14:paraId="20E23BCD">
            <w:pPr>
              <w:widowControl/>
              <w:spacing w:line="400" w:lineRule="exact"/>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rPr>
              <w:t>公共教室4</w:t>
            </w:r>
          </w:p>
        </w:tc>
        <w:tc>
          <w:tcPr>
            <w:tcW w:w="2349" w:type="dxa"/>
            <w:noWrap/>
            <w:vAlign w:val="center"/>
          </w:tcPr>
          <w:p w14:paraId="5234895C">
            <w:pPr>
              <w:widowControl/>
              <w:spacing w:line="400" w:lineRule="exact"/>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rPr>
              <w:t>阻燃卷帘</w:t>
            </w:r>
          </w:p>
        </w:tc>
        <w:tc>
          <w:tcPr>
            <w:tcW w:w="1309" w:type="dxa"/>
            <w:noWrap/>
            <w:vAlign w:val="center"/>
          </w:tcPr>
          <w:p w14:paraId="5088CAC9">
            <w:pPr>
              <w:widowControl/>
              <w:spacing w:line="400" w:lineRule="exact"/>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rPr>
              <w:t>16*4.5</w:t>
            </w:r>
          </w:p>
        </w:tc>
        <w:tc>
          <w:tcPr>
            <w:tcW w:w="1244" w:type="dxa"/>
            <w:noWrap/>
            <w:vAlign w:val="center"/>
          </w:tcPr>
          <w:p w14:paraId="0BDBFCB7">
            <w:pPr>
              <w:keepNext w:val="0"/>
              <w:keepLines w:val="0"/>
              <w:widowControl/>
              <w:suppressLineNumbers w:val="0"/>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72</w:t>
            </w:r>
          </w:p>
        </w:tc>
        <w:tc>
          <w:tcPr>
            <w:tcW w:w="919" w:type="dxa"/>
            <w:noWrap/>
            <w:vAlign w:val="center"/>
          </w:tcPr>
          <w:p w14:paraId="799A6952">
            <w:pPr>
              <w:widowControl/>
              <w:spacing w:line="400" w:lineRule="exact"/>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rPr>
              <w:t>㎡</w:t>
            </w:r>
          </w:p>
        </w:tc>
        <w:tc>
          <w:tcPr>
            <w:tcW w:w="989" w:type="dxa"/>
            <w:noWrap/>
            <w:vAlign w:val="center"/>
          </w:tcPr>
          <w:p w14:paraId="3A2E7687">
            <w:pPr>
              <w:widowControl/>
              <w:spacing w:line="400" w:lineRule="exact"/>
              <w:jc w:val="center"/>
              <w:rPr>
                <w:rFonts w:hint="eastAsia" w:ascii="宋体" w:hAnsi="宋体" w:eastAsia="宋体" w:cs="宋体"/>
                <w:color w:val="auto"/>
                <w:kern w:val="0"/>
                <w:sz w:val="21"/>
                <w:szCs w:val="21"/>
                <w:highlight w:val="none"/>
                <w:lang w:val="en-US" w:eastAsia="zh-CN"/>
              </w:rPr>
            </w:pPr>
          </w:p>
        </w:tc>
      </w:tr>
      <w:tr w14:paraId="5BD80F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2" w:hRule="atLeast"/>
          <w:jc w:val="center"/>
        </w:trPr>
        <w:tc>
          <w:tcPr>
            <w:tcW w:w="9076" w:type="dxa"/>
            <w:gridSpan w:val="7"/>
            <w:noWrap/>
            <w:vAlign w:val="center"/>
          </w:tcPr>
          <w:p w14:paraId="4C797BCF">
            <w:pPr>
              <w:widowControl/>
              <w:numPr>
                <w:ilvl w:val="0"/>
                <w:numId w:val="0"/>
              </w:numPr>
              <w:spacing w:line="400" w:lineRule="exact"/>
              <w:jc w:val="left"/>
              <w:rPr>
                <w:rFonts w:hint="default" w:ascii="宋体" w:hAnsi="宋体" w:eastAsia="宋体" w:cs="宋体"/>
                <w:b/>
                <w:bCs/>
                <w:color w:val="auto"/>
                <w:kern w:val="0"/>
                <w:sz w:val="24"/>
                <w:szCs w:val="24"/>
                <w:highlight w:val="none"/>
                <w:lang w:val="en-US" w:eastAsia="zh-CN" w:bidi="ar-SA"/>
              </w:rPr>
            </w:pPr>
            <w:r>
              <w:rPr>
                <w:rFonts w:hint="eastAsia" w:ascii="宋体" w:hAnsi="宋体" w:eastAsia="宋体" w:cs="宋体"/>
                <w:b/>
                <w:bCs/>
                <w:color w:val="auto"/>
                <w:kern w:val="0"/>
                <w:sz w:val="24"/>
                <w:szCs w:val="24"/>
                <w:highlight w:val="none"/>
                <w:lang w:val="en-US" w:eastAsia="zh-CN" w:bidi="ar-SA"/>
              </w:rPr>
              <w:t>注：</w:t>
            </w:r>
          </w:p>
          <w:p w14:paraId="33A64380">
            <w:pPr>
              <w:widowControl/>
              <w:numPr>
                <w:ilvl w:val="0"/>
                <w:numId w:val="0"/>
              </w:numPr>
              <w:spacing w:line="400" w:lineRule="exact"/>
              <w:jc w:val="left"/>
              <w:rPr>
                <w:rFonts w:hint="eastAsia" w:ascii="宋体" w:hAnsi="宋体" w:eastAsia="宋体" w:cs="宋体"/>
                <w:b/>
                <w:bCs/>
                <w:color w:val="auto"/>
                <w:kern w:val="0"/>
                <w:sz w:val="24"/>
                <w:szCs w:val="24"/>
                <w:highlight w:val="none"/>
                <w:lang w:val="en-US" w:eastAsia="zh-CN" w:bidi="ar-SA"/>
              </w:rPr>
            </w:pPr>
            <w:r>
              <w:rPr>
                <w:rFonts w:hint="eastAsia" w:ascii="宋体" w:hAnsi="宋体" w:eastAsia="宋体" w:cs="宋体"/>
                <w:b/>
                <w:bCs/>
                <w:color w:val="auto"/>
                <w:kern w:val="0"/>
                <w:sz w:val="24"/>
                <w:szCs w:val="24"/>
                <w:highlight w:val="none"/>
                <w:lang w:val="en-US" w:eastAsia="zh-CN" w:bidi="ar-SA"/>
              </w:rPr>
              <w:t>1、辅材由各投标人根据主材数量综合考虑进主材报价内，不单独立项</w:t>
            </w:r>
          </w:p>
          <w:p w14:paraId="73A8C0B4">
            <w:pPr>
              <w:pStyle w:val="21"/>
              <w:numPr>
                <w:ilvl w:val="0"/>
                <w:numId w:val="0"/>
              </w:numPr>
              <w:ind w:left="0" w:leftChars="0" w:firstLine="0" w:firstLineChars="0"/>
              <w:rPr>
                <w:rFonts w:hint="eastAsia"/>
                <w:b/>
                <w:bCs/>
                <w:color w:val="auto"/>
                <w:sz w:val="24"/>
                <w:szCs w:val="24"/>
                <w:highlight w:val="none"/>
                <w:lang w:val="en-US" w:eastAsia="zh-CN"/>
              </w:rPr>
            </w:pPr>
            <w:r>
              <w:rPr>
                <w:rFonts w:hint="eastAsia"/>
                <w:b/>
                <w:bCs/>
                <w:color w:val="auto"/>
                <w:sz w:val="24"/>
                <w:szCs w:val="24"/>
                <w:highlight w:val="none"/>
                <w:lang w:val="en-US" w:eastAsia="zh-CN"/>
              </w:rPr>
              <w:t>2、窗帘尺寸作为报价参考，具体尺寸以中标后现场实际测量尺寸为准。</w:t>
            </w:r>
          </w:p>
          <w:p w14:paraId="4CCAE529">
            <w:pPr>
              <w:pStyle w:val="21"/>
              <w:numPr>
                <w:ilvl w:val="0"/>
                <w:numId w:val="0"/>
              </w:numPr>
              <w:ind w:left="0" w:leftChars="0" w:firstLine="0" w:firstLineChars="0"/>
              <w:rPr>
                <w:rFonts w:hint="eastAsia"/>
                <w:b/>
                <w:bCs/>
                <w:color w:val="auto"/>
                <w:sz w:val="24"/>
                <w:szCs w:val="24"/>
                <w:highlight w:val="none"/>
                <w:lang w:val="en-US" w:eastAsia="zh-CN"/>
              </w:rPr>
            </w:pPr>
            <w:r>
              <w:rPr>
                <w:rFonts w:hint="eastAsia"/>
                <w:b/>
                <w:bCs/>
                <w:color w:val="auto"/>
                <w:sz w:val="24"/>
                <w:szCs w:val="24"/>
                <w:highlight w:val="none"/>
                <w:lang w:val="en-US" w:eastAsia="zh-CN"/>
              </w:rPr>
              <w:t>3、结算价=合同签订后实际供货的数量*投标全费用综合单价</w:t>
            </w:r>
          </w:p>
        </w:tc>
      </w:tr>
    </w:tbl>
    <w:p w14:paraId="7C3DCC37">
      <w:pPr>
        <w:pStyle w:val="13"/>
        <w:widowControl/>
        <w:spacing w:line="640" w:lineRule="exact"/>
        <w:jc w:val="center"/>
        <w:outlineLvl w:val="0"/>
        <w:rPr>
          <w:rFonts w:hint="eastAsia" w:ascii="Times New Roman" w:hAnsi="Times New Roman" w:eastAsia="方正小标宋_GBK"/>
          <w:color w:val="000000"/>
          <w:w w:val="95"/>
          <w:sz w:val="44"/>
          <w:szCs w:val="44"/>
          <w:highlight w:val="none"/>
        </w:rPr>
      </w:pPr>
    </w:p>
    <w:p w14:paraId="72605D89">
      <w:pPr>
        <w:pStyle w:val="13"/>
        <w:widowControl/>
        <w:spacing w:line="640" w:lineRule="exact"/>
        <w:jc w:val="center"/>
        <w:outlineLvl w:val="0"/>
        <w:rPr>
          <w:rFonts w:hint="eastAsia" w:ascii="Times New Roman" w:hAnsi="Times New Roman" w:eastAsia="方正小标宋_GBK"/>
          <w:color w:val="000000"/>
          <w:w w:val="95"/>
          <w:sz w:val="44"/>
          <w:szCs w:val="44"/>
          <w:highlight w:val="none"/>
        </w:rPr>
      </w:pPr>
    </w:p>
    <w:p w14:paraId="513FF00D">
      <w:pPr>
        <w:pStyle w:val="13"/>
        <w:widowControl/>
        <w:spacing w:line="640" w:lineRule="exact"/>
        <w:jc w:val="center"/>
        <w:outlineLvl w:val="0"/>
        <w:rPr>
          <w:rFonts w:hint="eastAsia" w:ascii="Times New Roman" w:hAnsi="Times New Roman" w:eastAsia="方正小标宋_GBK"/>
          <w:color w:val="000000"/>
          <w:w w:val="95"/>
          <w:sz w:val="44"/>
          <w:szCs w:val="44"/>
          <w:highlight w:val="none"/>
        </w:rPr>
      </w:pPr>
    </w:p>
    <w:p w14:paraId="2B688002">
      <w:pPr>
        <w:pStyle w:val="13"/>
        <w:widowControl/>
        <w:spacing w:line="640" w:lineRule="exact"/>
        <w:jc w:val="center"/>
        <w:outlineLvl w:val="0"/>
        <w:rPr>
          <w:rFonts w:hint="eastAsia" w:ascii="Times New Roman" w:hAnsi="Times New Roman" w:eastAsia="方正小标宋_GBK"/>
          <w:color w:val="000000"/>
          <w:w w:val="95"/>
          <w:sz w:val="44"/>
          <w:szCs w:val="44"/>
          <w:highlight w:val="none"/>
        </w:rPr>
      </w:pPr>
    </w:p>
    <w:p w14:paraId="5350DCFC">
      <w:pPr>
        <w:pStyle w:val="13"/>
        <w:widowControl/>
        <w:spacing w:line="640" w:lineRule="exact"/>
        <w:jc w:val="center"/>
        <w:outlineLvl w:val="0"/>
        <w:rPr>
          <w:rFonts w:hint="eastAsia" w:ascii="Times New Roman" w:hAnsi="Times New Roman" w:eastAsia="方正小标宋_GBK"/>
          <w:color w:val="000000"/>
          <w:w w:val="95"/>
          <w:sz w:val="44"/>
          <w:szCs w:val="44"/>
          <w:highlight w:val="none"/>
        </w:rPr>
      </w:pPr>
    </w:p>
    <w:p w14:paraId="0B067276">
      <w:pPr>
        <w:pStyle w:val="13"/>
        <w:widowControl/>
        <w:spacing w:line="640" w:lineRule="exact"/>
        <w:jc w:val="center"/>
        <w:outlineLvl w:val="0"/>
        <w:rPr>
          <w:rFonts w:hint="eastAsia" w:ascii="Times New Roman" w:hAnsi="Times New Roman" w:eastAsia="方正小标宋_GBK"/>
          <w:color w:val="000000"/>
          <w:w w:val="95"/>
          <w:sz w:val="44"/>
          <w:szCs w:val="44"/>
          <w:highlight w:val="none"/>
        </w:rPr>
      </w:pPr>
    </w:p>
    <w:p w14:paraId="7205C693">
      <w:pPr>
        <w:pStyle w:val="13"/>
        <w:widowControl/>
        <w:spacing w:line="640" w:lineRule="exact"/>
        <w:jc w:val="center"/>
        <w:outlineLvl w:val="0"/>
        <w:rPr>
          <w:rFonts w:hint="eastAsia" w:ascii="Times New Roman" w:hAnsi="Times New Roman" w:eastAsia="方正小标宋_GBK"/>
          <w:color w:val="000000"/>
          <w:w w:val="95"/>
          <w:sz w:val="44"/>
          <w:szCs w:val="44"/>
          <w:highlight w:val="none"/>
        </w:rPr>
      </w:pPr>
    </w:p>
    <w:p w14:paraId="62B8C4D4">
      <w:pPr>
        <w:pStyle w:val="13"/>
        <w:widowControl/>
        <w:spacing w:line="640" w:lineRule="exact"/>
        <w:jc w:val="center"/>
        <w:outlineLvl w:val="0"/>
        <w:rPr>
          <w:rFonts w:hint="eastAsia" w:ascii="Times New Roman" w:hAnsi="Times New Roman" w:eastAsia="方正小标宋_GBK"/>
          <w:color w:val="000000"/>
          <w:w w:val="95"/>
          <w:sz w:val="44"/>
          <w:szCs w:val="44"/>
          <w:highlight w:val="none"/>
        </w:rPr>
      </w:pPr>
    </w:p>
    <w:p w14:paraId="316AEBB8">
      <w:pPr>
        <w:pStyle w:val="13"/>
        <w:widowControl/>
        <w:spacing w:line="640" w:lineRule="exact"/>
        <w:jc w:val="center"/>
        <w:outlineLvl w:val="0"/>
        <w:rPr>
          <w:rFonts w:hint="eastAsia" w:ascii="Times New Roman" w:hAnsi="Times New Roman" w:eastAsia="方正小标宋_GBK"/>
          <w:color w:val="000000"/>
          <w:w w:val="95"/>
          <w:sz w:val="44"/>
          <w:szCs w:val="44"/>
          <w:highlight w:val="none"/>
        </w:rPr>
      </w:pPr>
    </w:p>
    <w:p w14:paraId="56B9B37C">
      <w:pPr>
        <w:pStyle w:val="13"/>
        <w:widowControl/>
        <w:spacing w:line="640" w:lineRule="exact"/>
        <w:jc w:val="center"/>
        <w:outlineLvl w:val="0"/>
        <w:rPr>
          <w:rFonts w:hint="eastAsia" w:ascii="Times New Roman" w:hAnsi="Times New Roman" w:eastAsia="方正小标宋_GBK"/>
          <w:color w:val="000000"/>
          <w:w w:val="95"/>
          <w:sz w:val="44"/>
          <w:szCs w:val="44"/>
          <w:highlight w:val="none"/>
        </w:rPr>
      </w:pPr>
    </w:p>
    <w:p w14:paraId="46B25B67">
      <w:pPr>
        <w:pStyle w:val="13"/>
        <w:widowControl/>
        <w:spacing w:line="640" w:lineRule="exact"/>
        <w:jc w:val="center"/>
        <w:outlineLvl w:val="0"/>
        <w:rPr>
          <w:rFonts w:hint="eastAsia" w:ascii="Times New Roman" w:hAnsi="Times New Roman" w:eastAsia="方正小标宋_GBK"/>
          <w:color w:val="000000"/>
          <w:w w:val="95"/>
          <w:sz w:val="44"/>
          <w:szCs w:val="44"/>
          <w:highlight w:val="none"/>
        </w:rPr>
      </w:pPr>
    </w:p>
    <w:p w14:paraId="04A9342F">
      <w:pPr>
        <w:pStyle w:val="13"/>
        <w:widowControl/>
        <w:spacing w:line="640" w:lineRule="exact"/>
        <w:jc w:val="center"/>
        <w:outlineLvl w:val="0"/>
        <w:rPr>
          <w:rFonts w:ascii="Times New Roman" w:hAnsi="Times New Roman" w:eastAsia="方正小标宋_GBK"/>
          <w:color w:val="000000"/>
          <w:w w:val="95"/>
          <w:sz w:val="44"/>
          <w:szCs w:val="44"/>
          <w:highlight w:val="none"/>
        </w:rPr>
      </w:pPr>
      <w:r>
        <w:rPr>
          <w:rFonts w:hint="eastAsia" w:ascii="Times New Roman" w:hAnsi="Times New Roman" w:eastAsia="方正小标宋_GBK"/>
          <w:color w:val="000000"/>
          <w:w w:val="95"/>
          <w:sz w:val="44"/>
          <w:szCs w:val="44"/>
          <w:highlight w:val="none"/>
        </w:rPr>
        <w:t>第五部分  响应文件的组成和格式</w:t>
      </w:r>
      <w:bookmarkEnd w:id="126"/>
    </w:p>
    <w:p w14:paraId="0DD0217B">
      <w:pPr>
        <w:widowControl/>
        <w:wordWrap w:val="0"/>
        <w:jc w:val="center"/>
        <w:rPr>
          <w:rFonts w:ascii="Times New Roman" w:hAnsi="Times New Roman" w:eastAsia="宋体" w:cs="宋体"/>
          <w:b/>
          <w:kern w:val="0"/>
          <w:sz w:val="72"/>
          <w:szCs w:val="72"/>
          <w:highlight w:val="none"/>
        </w:rPr>
      </w:pPr>
    </w:p>
    <w:p w14:paraId="7AC47E31">
      <w:pPr>
        <w:widowControl/>
        <w:wordWrap w:val="0"/>
        <w:jc w:val="center"/>
        <w:rPr>
          <w:rFonts w:ascii="Times New Roman" w:hAnsi="Times New Roman" w:eastAsia="宋体" w:cs="宋体"/>
          <w:b/>
          <w:kern w:val="0"/>
          <w:sz w:val="72"/>
          <w:szCs w:val="72"/>
          <w:highlight w:val="none"/>
        </w:rPr>
      </w:pPr>
    </w:p>
    <w:p w14:paraId="01FE5A07">
      <w:pPr>
        <w:widowControl/>
        <w:wordWrap w:val="0"/>
        <w:jc w:val="center"/>
        <w:rPr>
          <w:rFonts w:ascii="Times New Roman" w:hAnsi="Times New Roman" w:eastAsia="宋体" w:cs="宋体"/>
          <w:b/>
          <w:kern w:val="0"/>
          <w:sz w:val="72"/>
          <w:szCs w:val="72"/>
          <w:highlight w:val="none"/>
        </w:rPr>
      </w:pPr>
      <w:r>
        <w:rPr>
          <w:rFonts w:hint="eastAsia" w:ascii="Times New Roman" w:hAnsi="Times New Roman" w:eastAsia="宋体" w:cs="宋体"/>
          <w:b/>
          <w:kern w:val="0"/>
          <w:sz w:val="72"/>
          <w:szCs w:val="72"/>
          <w:highlight w:val="none"/>
        </w:rPr>
        <w:t>询价响应文件</w:t>
      </w:r>
    </w:p>
    <w:p w14:paraId="3F65A981">
      <w:pPr>
        <w:widowControl/>
        <w:wordWrap w:val="0"/>
        <w:spacing w:before="120" w:after="120" w:line="360" w:lineRule="auto"/>
        <w:jc w:val="center"/>
        <w:rPr>
          <w:rFonts w:ascii="Times New Roman" w:hAnsi="Times New Roman" w:eastAsia="宋体" w:cs="宋体"/>
          <w:b/>
          <w:kern w:val="0"/>
          <w:sz w:val="32"/>
          <w:szCs w:val="32"/>
          <w:highlight w:val="none"/>
        </w:rPr>
      </w:pPr>
    </w:p>
    <w:p w14:paraId="07CBD03D">
      <w:pPr>
        <w:widowControl/>
        <w:wordWrap w:val="0"/>
        <w:jc w:val="center"/>
        <w:rPr>
          <w:rFonts w:ascii="Times New Roman" w:hAnsi="Times New Roman" w:eastAsia="宋体" w:cs="宋体"/>
          <w:b/>
          <w:kern w:val="0"/>
          <w:sz w:val="36"/>
          <w:szCs w:val="36"/>
          <w:highlight w:val="none"/>
        </w:rPr>
      </w:pPr>
      <w:r>
        <w:rPr>
          <w:rFonts w:hint="eastAsia" w:ascii="Times New Roman" w:hAnsi="Times New Roman" w:eastAsia="宋体" w:cs="宋体"/>
          <w:b/>
          <w:kern w:val="0"/>
          <w:sz w:val="36"/>
          <w:szCs w:val="36"/>
          <w:highlight w:val="none"/>
        </w:rPr>
        <w:t>（正或副本）</w:t>
      </w:r>
    </w:p>
    <w:p w14:paraId="3F9BEEEF">
      <w:pPr>
        <w:widowControl/>
        <w:wordWrap w:val="0"/>
        <w:ind w:firstLine="1084"/>
        <w:rPr>
          <w:rFonts w:ascii="Times New Roman" w:hAnsi="Times New Roman" w:eastAsia="宋体" w:cs="宋体"/>
          <w:b/>
          <w:kern w:val="0"/>
          <w:sz w:val="36"/>
          <w:szCs w:val="36"/>
          <w:highlight w:val="none"/>
        </w:rPr>
      </w:pPr>
    </w:p>
    <w:p w14:paraId="13F1A33A">
      <w:pPr>
        <w:widowControl/>
        <w:wordWrap w:val="0"/>
        <w:ind w:firstLine="1084"/>
        <w:rPr>
          <w:rFonts w:ascii="Times New Roman" w:hAnsi="Times New Roman" w:eastAsia="宋体" w:cs="宋体"/>
          <w:b/>
          <w:kern w:val="0"/>
          <w:sz w:val="36"/>
          <w:szCs w:val="36"/>
          <w:highlight w:val="none"/>
        </w:rPr>
      </w:pPr>
      <w:r>
        <w:rPr>
          <w:rFonts w:hint="eastAsia" w:ascii="Times New Roman" w:hAnsi="Times New Roman" w:eastAsia="宋体" w:cs="宋体"/>
          <w:b/>
          <w:kern w:val="0"/>
          <w:sz w:val="36"/>
          <w:szCs w:val="36"/>
          <w:highlight w:val="none"/>
        </w:rPr>
        <w:t xml:space="preserve"> </w:t>
      </w:r>
    </w:p>
    <w:p w14:paraId="06AEC687">
      <w:pPr>
        <w:pStyle w:val="22"/>
        <w:rPr>
          <w:rFonts w:cs="宋体"/>
          <w:b/>
          <w:sz w:val="36"/>
          <w:szCs w:val="36"/>
          <w:highlight w:val="none"/>
        </w:rPr>
      </w:pPr>
    </w:p>
    <w:p w14:paraId="19772E73">
      <w:pPr>
        <w:spacing w:before="120" w:after="120"/>
        <w:ind w:firstLine="1084"/>
        <w:rPr>
          <w:rFonts w:ascii="Times New Roman" w:hAnsi="Times New Roman" w:eastAsia="宋体" w:cs="宋体"/>
          <w:b/>
          <w:sz w:val="36"/>
          <w:highlight w:val="none"/>
        </w:rPr>
      </w:pPr>
      <w:r>
        <w:rPr>
          <w:rFonts w:hint="eastAsia" w:ascii="Times New Roman" w:hAnsi="Times New Roman" w:eastAsia="宋体" w:cs="宋体"/>
          <w:b/>
          <w:spacing w:val="181"/>
          <w:kern w:val="0"/>
          <w:sz w:val="36"/>
          <w:highlight w:val="none"/>
          <w:fitText w:val="2527" w:id="-1005956095"/>
        </w:rPr>
        <w:t>项目名</w:t>
      </w:r>
      <w:r>
        <w:rPr>
          <w:rFonts w:hint="eastAsia" w:ascii="Times New Roman" w:hAnsi="Times New Roman" w:eastAsia="宋体" w:cs="宋体"/>
          <w:b/>
          <w:spacing w:val="0"/>
          <w:kern w:val="0"/>
          <w:sz w:val="36"/>
          <w:highlight w:val="none"/>
          <w:fitText w:val="2527" w:id="-1005956095"/>
        </w:rPr>
        <w:t>称</w:t>
      </w:r>
      <w:r>
        <w:rPr>
          <w:rFonts w:hint="eastAsia" w:ascii="Times New Roman" w:hAnsi="Times New Roman" w:eastAsia="宋体" w:cs="宋体"/>
          <w:b/>
          <w:sz w:val="36"/>
          <w:highlight w:val="none"/>
        </w:rPr>
        <w:t>：</w:t>
      </w:r>
    </w:p>
    <w:p w14:paraId="089BC0C1">
      <w:pPr>
        <w:spacing w:before="120" w:after="120"/>
        <w:ind w:firstLine="1084"/>
        <w:rPr>
          <w:rFonts w:ascii="Times New Roman" w:hAnsi="Times New Roman" w:eastAsia="宋体" w:cs="宋体"/>
          <w:b/>
          <w:sz w:val="36"/>
          <w:highlight w:val="none"/>
          <w:u w:val="single"/>
        </w:rPr>
      </w:pPr>
      <w:r>
        <w:rPr>
          <w:rFonts w:hint="eastAsia" w:ascii="Times New Roman" w:hAnsi="Times New Roman" w:eastAsia="宋体" w:cs="宋体"/>
          <w:b/>
          <w:spacing w:val="181"/>
          <w:kern w:val="0"/>
          <w:sz w:val="36"/>
          <w:highlight w:val="none"/>
          <w:fitText w:val="2527" w:id="-1005956096"/>
        </w:rPr>
        <w:t>项目编</w:t>
      </w:r>
      <w:r>
        <w:rPr>
          <w:rFonts w:hint="eastAsia" w:ascii="Times New Roman" w:hAnsi="Times New Roman" w:eastAsia="宋体" w:cs="宋体"/>
          <w:b/>
          <w:spacing w:val="0"/>
          <w:kern w:val="0"/>
          <w:sz w:val="36"/>
          <w:highlight w:val="none"/>
          <w:fitText w:val="2527" w:id="-1005956096"/>
        </w:rPr>
        <w:t>号</w:t>
      </w:r>
      <w:r>
        <w:rPr>
          <w:rFonts w:hint="eastAsia" w:ascii="Times New Roman" w:hAnsi="Times New Roman" w:eastAsia="宋体" w:cs="宋体"/>
          <w:b/>
          <w:sz w:val="36"/>
          <w:highlight w:val="none"/>
        </w:rPr>
        <w:t>：</w:t>
      </w:r>
    </w:p>
    <w:p w14:paraId="1BB6C1D6">
      <w:pPr>
        <w:spacing w:before="120" w:after="120"/>
        <w:ind w:firstLine="1084"/>
        <w:rPr>
          <w:rFonts w:ascii="Times New Roman" w:hAnsi="Times New Roman" w:eastAsia="宋体" w:cs="宋体"/>
          <w:b/>
          <w:sz w:val="36"/>
          <w:highlight w:val="none"/>
        </w:rPr>
      </w:pPr>
      <w:r>
        <w:rPr>
          <w:rFonts w:hint="eastAsia" w:ascii="Times New Roman" w:hAnsi="Times New Roman" w:eastAsia="宋体" w:cs="宋体"/>
          <w:b/>
          <w:sz w:val="36"/>
          <w:highlight w:val="none"/>
        </w:rPr>
        <w:t xml:space="preserve">响应供应商名称：               </w:t>
      </w:r>
    </w:p>
    <w:p w14:paraId="49ECD764">
      <w:pPr>
        <w:spacing w:before="120" w:after="120"/>
        <w:rPr>
          <w:rFonts w:ascii="Times New Roman" w:hAnsi="Times New Roman" w:eastAsia="宋体" w:cs="宋体"/>
          <w:b/>
          <w:sz w:val="36"/>
          <w:highlight w:val="none"/>
        </w:rPr>
      </w:pPr>
      <w:r>
        <w:rPr>
          <w:rFonts w:hint="eastAsia" w:ascii="Times New Roman" w:hAnsi="Times New Roman" w:eastAsia="宋体" w:cs="宋体"/>
          <w:b/>
          <w:sz w:val="36"/>
          <w:highlight w:val="none"/>
        </w:rPr>
        <w:t xml:space="preserve">      </w:t>
      </w:r>
      <w:r>
        <w:rPr>
          <w:rFonts w:hint="eastAsia" w:ascii="Times New Roman" w:hAnsi="Times New Roman" w:eastAsia="宋体" w:cs="宋体"/>
          <w:b/>
          <w:spacing w:val="34"/>
          <w:kern w:val="0"/>
          <w:sz w:val="36"/>
          <w:highlight w:val="none"/>
          <w:fitText w:val="2527" w:id="-1005956094"/>
        </w:rPr>
        <w:t xml:space="preserve">日       </w:t>
      </w:r>
      <w:r>
        <w:rPr>
          <w:rFonts w:hint="eastAsia" w:ascii="Times New Roman" w:hAnsi="Times New Roman" w:eastAsia="宋体" w:cs="宋体"/>
          <w:b/>
          <w:spacing w:val="1"/>
          <w:kern w:val="0"/>
          <w:sz w:val="36"/>
          <w:highlight w:val="none"/>
          <w:fitText w:val="2527" w:id="-1005956094"/>
        </w:rPr>
        <w:t>期</w:t>
      </w:r>
      <w:r>
        <w:rPr>
          <w:rFonts w:hint="eastAsia" w:ascii="Times New Roman" w:hAnsi="Times New Roman" w:eastAsia="宋体" w:cs="宋体"/>
          <w:b/>
          <w:sz w:val="36"/>
          <w:highlight w:val="none"/>
        </w:rPr>
        <w:t>：</w:t>
      </w:r>
    </w:p>
    <w:p w14:paraId="42F34772">
      <w:pPr>
        <w:pStyle w:val="28"/>
        <w:rPr>
          <w:rFonts w:ascii="Times New Roman" w:hAnsi="Times New Roman" w:eastAsia="宋体" w:cs="宋体"/>
          <w:b/>
          <w:sz w:val="36"/>
          <w:highlight w:val="none"/>
        </w:rPr>
      </w:pPr>
    </w:p>
    <w:p w14:paraId="30B0A812">
      <w:pPr>
        <w:rPr>
          <w:rFonts w:ascii="Times New Roman" w:hAnsi="Times New Roman" w:eastAsia="宋体" w:cs="宋体"/>
          <w:b/>
          <w:sz w:val="36"/>
          <w:highlight w:val="none"/>
        </w:rPr>
      </w:pPr>
    </w:p>
    <w:p w14:paraId="6D16F76E">
      <w:pPr>
        <w:jc w:val="center"/>
        <w:rPr>
          <w:rFonts w:ascii="Times New Roman" w:hAnsi="Times New Roman" w:eastAsia="宋体" w:cs="宋体"/>
          <w:b/>
          <w:sz w:val="36"/>
          <w:highlight w:val="none"/>
        </w:rPr>
      </w:pPr>
    </w:p>
    <w:p w14:paraId="63CE8F12">
      <w:pPr>
        <w:widowControl/>
        <w:jc w:val="left"/>
        <w:rPr>
          <w:rFonts w:ascii="Times New Roman" w:hAnsi="Times New Roman" w:eastAsia="宋体" w:cs="宋体"/>
          <w:b/>
          <w:sz w:val="36"/>
          <w:highlight w:val="none"/>
        </w:rPr>
      </w:pPr>
      <w:r>
        <w:rPr>
          <w:rFonts w:ascii="Times New Roman" w:hAnsi="Times New Roman" w:eastAsia="宋体" w:cs="宋体"/>
          <w:b/>
          <w:sz w:val="36"/>
          <w:highlight w:val="none"/>
        </w:rPr>
        <w:br w:type="page"/>
      </w:r>
    </w:p>
    <w:p w14:paraId="59153C98">
      <w:pPr>
        <w:pStyle w:val="21"/>
      </w:pPr>
    </w:p>
    <w:p w14:paraId="3352553F">
      <w:pPr>
        <w:spacing w:line="500" w:lineRule="exact"/>
        <w:jc w:val="center"/>
        <w:rPr>
          <w:rFonts w:ascii="仿宋" w:hAnsi="仿宋" w:eastAsia="仿宋" w:cs="仿宋"/>
          <w:b/>
          <w:bCs/>
          <w:sz w:val="40"/>
          <w:szCs w:val="40"/>
          <w:highlight w:val="none"/>
        </w:rPr>
      </w:pPr>
      <w:r>
        <w:rPr>
          <w:rFonts w:hint="eastAsia" w:ascii="仿宋" w:hAnsi="仿宋" w:eastAsia="仿宋" w:cs="仿宋"/>
          <w:b/>
          <w:bCs/>
          <w:sz w:val="40"/>
          <w:szCs w:val="40"/>
          <w:highlight w:val="none"/>
        </w:rPr>
        <w:t>投标主要文件目录</w:t>
      </w:r>
    </w:p>
    <w:p w14:paraId="2CBB5BB5">
      <w:pPr>
        <w:spacing w:line="500" w:lineRule="exact"/>
        <w:jc w:val="center"/>
        <w:rPr>
          <w:rFonts w:ascii="仿宋" w:hAnsi="仿宋" w:eastAsia="仿宋" w:cs="仿宋"/>
          <w:b/>
          <w:bCs/>
          <w:sz w:val="40"/>
          <w:szCs w:val="40"/>
          <w:highlight w:val="none"/>
        </w:rPr>
      </w:pPr>
    </w:p>
    <w:p w14:paraId="35287239">
      <w:pPr>
        <w:numPr>
          <w:ilvl w:val="0"/>
          <w:numId w:val="4"/>
        </w:numPr>
        <w:spacing w:line="480" w:lineRule="auto"/>
        <w:ind w:firstLine="480"/>
        <w:jc w:val="left"/>
        <w:rPr>
          <w:rFonts w:ascii="Times New Roman" w:hAnsi="Times New Roman" w:cs="宋体"/>
          <w:sz w:val="24"/>
          <w:highlight w:val="none"/>
        </w:rPr>
      </w:pPr>
      <w:bookmarkStart w:id="127" w:name="_Toc22293"/>
      <w:r>
        <w:rPr>
          <w:rFonts w:hint="eastAsia" w:ascii="Times New Roman" w:hAnsi="Times New Roman" w:cs="宋体"/>
          <w:sz w:val="24"/>
          <w:highlight w:val="none"/>
        </w:rPr>
        <w:t>资信证明文件要求</w:t>
      </w:r>
      <w:bookmarkEnd w:id="127"/>
    </w:p>
    <w:p w14:paraId="24F66C68">
      <w:pPr>
        <w:pStyle w:val="14"/>
        <w:spacing w:line="480" w:lineRule="auto"/>
        <w:ind w:firstLine="480" w:firstLineChars="200"/>
        <w:outlineLvl w:val="1"/>
        <w:rPr>
          <w:rFonts w:ascii="Times New Roman" w:hAnsi="Times New Roman" w:cs="宋体"/>
          <w:sz w:val="24"/>
          <w:highlight w:val="none"/>
        </w:rPr>
      </w:pPr>
      <w:bookmarkStart w:id="128" w:name="_Toc15193"/>
      <w:r>
        <w:rPr>
          <w:rFonts w:hint="eastAsia" w:ascii="Times New Roman" w:hAnsi="Times New Roman" w:cs="宋体"/>
          <w:sz w:val="24"/>
          <w:highlight w:val="none"/>
        </w:rPr>
        <w:t>二、资格性审查响应对照表</w:t>
      </w:r>
      <w:bookmarkEnd w:id="128"/>
    </w:p>
    <w:p w14:paraId="507452FA">
      <w:pPr>
        <w:pStyle w:val="14"/>
        <w:spacing w:line="480" w:lineRule="auto"/>
        <w:ind w:firstLine="480" w:firstLineChars="200"/>
        <w:outlineLvl w:val="1"/>
        <w:rPr>
          <w:highlight w:val="none"/>
        </w:rPr>
      </w:pPr>
      <w:bookmarkStart w:id="129" w:name="_Toc5444"/>
      <w:r>
        <w:rPr>
          <w:rFonts w:hint="eastAsia" w:ascii="Times New Roman" w:hAnsi="Times New Roman" w:cs="宋体"/>
          <w:sz w:val="24"/>
          <w:highlight w:val="none"/>
        </w:rPr>
        <w:t>三、符合性检查响应对照表</w:t>
      </w:r>
      <w:bookmarkEnd w:id="129"/>
    </w:p>
    <w:p w14:paraId="18F95F88">
      <w:pPr>
        <w:spacing w:line="480" w:lineRule="auto"/>
        <w:ind w:firstLine="480"/>
        <w:jc w:val="left"/>
        <w:rPr>
          <w:rFonts w:ascii="Times New Roman" w:hAnsi="Times New Roman" w:cs="宋体"/>
          <w:sz w:val="24"/>
          <w:highlight w:val="none"/>
        </w:rPr>
      </w:pPr>
      <w:r>
        <w:rPr>
          <w:rFonts w:hint="eastAsia" w:ascii="Times New Roman" w:hAnsi="Times New Roman" w:cs="宋体"/>
          <w:sz w:val="24"/>
          <w:highlight w:val="none"/>
        </w:rPr>
        <w:t>四、询价响应函</w:t>
      </w:r>
    </w:p>
    <w:p w14:paraId="003D369A">
      <w:pPr>
        <w:spacing w:line="480" w:lineRule="auto"/>
        <w:ind w:firstLine="480"/>
        <w:jc w:val="left"/>
        <w:rPr>
          <w:rFonts w:ascii="Times New Roman" w:hAnsi="Times New Roman" w:cs="宋体"/>
          <w:sz w:val="24"/>
          <w:highlight w:val="none"/>
        </w:rPr>
      </w:pPr>
      <w:r>
        <w:rPr>
          <w:rFonts w:hint="eastAsia" w:ascii="Times New Roman" w:hAnsi="Times New Roman" w:cs="宋体"/>
          <w:sz w:val="24"/>
          <w:highlight w:val="none"/>
        </w:rPr>
        <w:t>五、开标一览表</w:t>
      </w:r>
    </w:p>
    <w:p w14:paraId="3ACC4452">
      <w:pPr>
        <w:spacing w:line="480" w:lineRule="auto"/>
        <w:ind w:firstLine="480"/>
        <w:jc w:val="left"/>
        <w:rPr>
          <w:rFonts w:ascii="Times New Roman" w:hAnsi="Times New Roman" w:cs="宋体"/>
          <w:sz w:val="24"/>
          <w:highlight w:val="none"/>
        </w:rPr>
      </w:pPr>
      <w:r>
        <w:rPr>
          <w:rFonts w:hint="eastAsia" w:ascii="Times New Roman" w:hAnsi="Times New Roman" w:cs="宋体"/>
          <w:sz w:val="24"/>
          <w:highlight w:val="none"/>
        </w:rPr>
        <w:t>六、分项报价表</w:t>
      </w:r>
    </w:p>
    <w:p w14:paraId="0389E6D4">
      <w:pPr>
        <w:spacing w:line="480" w:lineRule="auto"/>
        <w:ind w:firstLine="480" w:firstLineChars="200"/>
        <w:rPr>
          <w:rFonts w:ascii="宋体" w:hAnsi="宋体" w:cs="宋体"/>
          <w:bCs/>
          <w:sz w:val="24"/>
          <w:highlight w:val="none"/>
        </w:rPr>
      </w:pPr>
      <w:r>
        <w:rPr>
          <w:rFonts w:hint="eastAsia" w:ascii="宋体" w:hAnsi="宋体" w:cs="宋体"/>
          <w:bCs/>
          <w:sz w:val="24"/>
          <w:highlight w:val="none"/>
        </w:rPr>
        <w:t>七、技术参数响应及偏离表</w:t>
      </w:r>
    </w:p>
    <w:p w14:paraId="07629DCF">
      <w:pPr>
        <w:spacing w:line="480" w:lineRule="auto"/>
        <w:ind w:firstLine="480" w:firstLineChars="200"/>
        <w:rPr>
          <w:rFonts w:ascii="宋体" w:hAnsi="宋体" w:cs="宋体"/>
          <w:bCs/>
          <w:sz w:val="24"/>
          <w:highlight w:val="none"/>
        </w:rPr>
      </w:pPr>
      <w:r>
        <w:rPr>
          <w:rFonts w:hint="eastAsia" w:ascii="宋体" w:hAnsi="宋体" w:cs="宋体"/>
          <w:bCs/>
          <w:sz w:val="24"/>
          <w:highlight w:val="none"/>
        </w:rPr>
        <w:t>八、商务响应及偏离表</w:t>
      </w:r>
    </w:p>
    <w:p w14:paraId="094443BD">
      <w:pPr>
        <w:spacing w:line="480" w:lineRule="auto"/>
        <w:ind w:firstLine="480"/>
        <w:jc w:val="left"/>
        <w:rPr>
          <w:rFonts w:ascii="Times New Roman" w:hAnsi="Times New Roman" w:cs="宋体"/>
          <w:sz w:val="24"/>
          <w:highlight w:val="none"/>
        </w:rPr>
      </w:pPr>
      <w:r>
        <w:rPr>
          <w:rFonts w:hint="eastAsia" w:ascii="Times New Roman" w:hAnsi="Times New Roman" w:cs="宋体"/>
          <w:sz w:val="24"/>
          <w:highlight w:val="none"/>
        </w:rPr>
        <w:t>九、政府采购事前信用承诺书</w:t>
      </w:r>
    </w:p>
    <w:p w14:paraId="726DAF2B">
      <w:pPr>
        <w:spacing w:line="480" w:lineRule="auto"/>
        <w:ind w:firstLine="480"/>
        <w:jc w:val="left"/>
        <w:rPr>
          <w:rFonts w:ascii="Times New Roman" w:hAnsi="Times New Roman" w:cs="宋体"/>
          <w:sz w:val="24"/>
          <w:highlight w:val="none"/>
        </w:rPr>
      </w:pPr>
      <w:r>
        <w:rPr>
          <w:rFonts w:hint="eastAsia" w:ascii="Times New Roman" w:hAnsi="Times New Roman" w:cs="宋体"/>
          <w:sz w:val="24"/>
          <w:highlight w:val="none"/>
        </w:rPr>
        <w:t>十、</w:t>
      </w:r>
      <w:r>
        <w:rPr>
          <w:rFonts w:hint="eastAsia" w:ascii="Times New Roman" w:hAnsi="Times New Roman" w:cs="宋体"/>
          <w:sz w:val="24"/>
          <w:highlight w:val="none"/>
          <w:lang w:val="en-US" w:eastAsia="zh-CN"/>
        </w:rPr>
        <w:t>询价文件</w:t>
      </w:r>
      <w:r>
        <w:rPr>
          <w:rFonts w:hint="eastAsia" w:ascii="Times New Roman" w:hAnsi="Times New Roman" w:cs="宋体"/>
          <w:sz w:val="24"/>
          <w:highlight w:val="none"/>
        </w:rPr>
        <w:t>中规定要求提供的材料或投标人认为需要提供的其他材料</w:t>
      </w:r>
    </w:p>
    <w:p w14:paraId="5A313D0A">
      <w:pPr>
        <w:widowControl/>
        <w:wordWrap w:val="0"/>
        <w:spacing w:line="480" w:lineRule="auto"/>
        <w:ind w:firstLine="480" w:firstLineChars="200"/>
        <w:rPr>
          <w:rFonts w:ascii="Times New Roman" w:hAnsi="Times New Roman" w:eastAsia="宋体" w:cs="宋体"/>
          <w:kern w:val="0"/>
          <w:sz w:val="24"/>
          <w:highlight w:val="none"/>
        </w:rPr>
      </w:pPr>
    </w:p>
    <w:p w14:paraId="167DCCA6">
      <w:pPr>
        <w:widowControl/>
        <w:wordWrap w:val="0"/>
        <w:spacing w:line="480" w:lineRule="auto"/>
        <w:ind w:firstLine="480" w:firstLineChars="200"/>
        <w:rPr>
          <w:rFonts w:ascii="Times New Roman" w:hAnsi="Times New Roman" w:eastAsia="宋体" w:cs="宋体"/>
          <w:kern w:val="0"/>
          <w:sz w:val="24"/>
          <w:highlight w:val="none"/>
        </w:rPr>
      </w:pPr>
    </w:p>
    <w:p w14:paraId="6BDF7C65">
      <w:pPr>
        <w:widowControl/>
        <w:wordWrap w:val="0"/>
        <w:spacing w:line="480" w:lineRule="auto"/>
        <w:ind w:firstLine="480" w:firstLineChars="200"/>
        <w:rPr>
          <w:rFonts w:ascii="Times New Roman" w:hAnsi="Times New Roman" w:eastAsia="宋体" w:cs="宋体"/>
          <w:kern w:val="0"/>
          <w:sz w:val="24"/>
          <w:highlight w:val="none"/>
        </w:rPr>
      </w:pPr>
    </w:p>
    <w:p w14:paraId="6702BAC0">
      <w:pPr>
        <w:pStyle w:val="6"/>
        <w:rPr>
          <w:rFonts w:ascii="Times New Roman" w:hAnsi="Times New Roman" w:eastAsia="宋体" w:cs="宋体"/>
          <w:kern w:val="0"/>
          <w:sz w:val="24"/>
          <w:highlight w:val="none"/>
        </w:rPr>
      </w:pPr>
    </w:p>
    <w:p w14:paraId="5313D2E1">
      <w:pPr>
        <w:rPr>
          <w:rFonts w:ascii="Times New Roman" w:hAnsi="Times New Roman" w:eastAsia="宋体" w:cs="宋体"/>
          <w:kern w:val="0"/>
          <w:sz w:val="24"/>
          <w:highlight w:val="none"/>
        </w:rPr>
      </w:pPr>
    </w:p>
    <w:p w14:paraId="440E1D66">
      <w:pPr>
        <w:pStyle w:val="6"/>
        <w:rPr>
          <w:rFonts w:ascii="Times New Roman" w:hAnsi="Times New Roman" w:eastAsia="宋体" w:cs="宋体"/>
          <w:kern w:val="0"/>
          <w:sz w:val="24"/>
          <w:highlight w:val="none"/>
        </w:rPr>
      </w:pPr>
    </w:p>
    <w:p w14:paraId="0C2915CA">
      <w:pPr>
        <w:rPr>
          <w:rFonts w:ascii="Times New Roman" w:hAnsi="Times New Roman" w:eastAsia="宋体" w:cs="宋体"/>
          <w:kern w:val="0"/>
          <w:sz w:val="24"/>
          <w:highlight w:val="none"/>
        </w:rPr>
      </w:pPr>
    </w:p>
    <w:p w14:paraId="6BD11879">
      <w:pPr>
        <w:pStyle w:val="6"/>
        <w:rPr>
          <w:rFonts w:ascii="Times New Roman" w:hAnsi="Times New Roman" w:eastAsia="宋体" w:cs="宋体"/>
          <w:kern w:val="0"/>
          <w:sz w:val="24"/>
          <w:highlight w:val="none"/>
        </w:rPr>
      </w:pPr>
    </w:p>
    <w:p w14:paraId="454DEFC9">
      <w:pPr>
        <w:rPr>
          <w:rFonts w:ascii="Times New Roman" w:hAnsi="Times New Roman" w:eastAsia="宋体" w:cs="宋体"/>
          <w:kern w:val="0"/>
          <w:sz w:val="24"/>
          <w:highlight w:val="none"/>
        </w:rPr>
      </w:pPr>
    </w:p>
    <w:p w14:paraId="5598E065">
      <w:pPr>
        <w:pStyle w:val="6"/>
        <w:rPr>
          <w:rFonts w:ascii="Times New Roman" w:hAnsi="Times New Roman" w:eastAsia="宋体" w:cs="宋体"/>
          <w:kern w:val="0"/>
          <w:sz w:val="24"/>
          <w:highlight w:val="none"/>
        </w:rPr>
      </w:pPr>
    </w:p>
    <w:p w14:paraId="2B6BDAE8">
      <w:pPr>
        <w:rPr>
          <w:rFonts w:ascii="Times New Roman" w:hAnsi="Times New Roman" w:eastAsia="宋体" w:cs="宋体"/>
          <w:kern w:val="0"/>
          <w:sz w:val="24"/>
          <w:highlight w:val="none"/>
        </w:rPr>
      </w:pPr>
    </w:p>
    <w:p w14:paraId="55BD833B">
      <w:pPr>
        <w:pStyle w:val="6"/>
        <w:rPr>
          <w:rFonts w:ascii="Times New Roman" w:hAnsi="Times New Roman" w:eastAsia="宋体" w:cs="宋体"/>
          <w:kern w:val="0"/>
          <w:sz w:val="24"/>
          <w:highlight w:val="none"/>
        </w:rPr>
      </w:pPr>
    </w:p>
    <w:p w14:paraId="46C15F99">
      <w:pPr>
        <w:numPr>
          <w:ilvl w:val="0"/>
          <w:numId w:val="5"/>
        </w:numPr>
        <w:jc w:val="center"/>
        <w:rPr>
          <w:rFonts w:ascii="Times New Roman" w:hAnsi="Times New Roman" w:eastAsia="宋体" w:cs="宋体"/>
          <w:b/>
          <w:sz w:val="36"/>
          <w:highlight w:val="none"/>
        </w:rPr>
      </w:pPr>
      <w:r>
        <w:rPr>
          <w:rFonts w:hint="eastAsia" w:ascii="Times New Roman" w:hAnsi="Times New Roman" w:eastAsia="宋体" w:cs="宋体"/>
          <w:b/>
          <w:sz w:val="36"/>
          <w:highlight w:val="none"/>
        </w:rPr>
        <w:t>资信证明文件目录</w:t>
      </w:r>
    </w:p>
    <w:p w14:paraId="2EDBA656">
      <w:pPr>
        <w:snapToGrid w:val="0"/>
        <w:spacing w:before="50" w:after="50" w:line="360" w:lineRule="auto"/>
        <w:rPr>
          <w:rFonts w:ascii="Times New Roman" w:hAnsi="Times New Roman" w:eastAsia="宋体" w:cs="宋体"/>
          <w:b/>
          <w:sz w:val="36"/>
          <w:highlight w:val="none"/>
        </w:rPr>
      </w:pPr>
      <w:r>
        <w:rPr>
          <w:rFonts w:hint="eastAsia" w:ascii="宋体" w:hAnsi="宋体" w:cs="宋体"/>
          <w:b/>
          <w:bCs/>
          <w:sz w:val="24"/>
          <w:highlight w:val="none"/>
        </w:rPr>
        <w:t>1、实质性资格证明文件目录</w:t>
      </w:r>
    </w:p>
    <w:p w14:paraId="344E2FF5">
      <w:pPr>
        <w:snapToGrid w:val="0"/>
        <w:spacing w:before="50" w:after="156" w:afterLines="50" w:line="500" w:lineRule="exact"/>
        <w:ind w:firstLine="482"/>
        <w:jc w:val="left"/>
        <w:rPr>
          <w:rFonts w:ascii="仿宋" w:hAnsi="仿宋" w:eastAsia="仿宋" w:cs="仿宋"/>
          <w:b/>
          <w:sz w:val="24"/>
          <w:highlight w:val="none"/>
          <w:u w:val="single"/>
        </w:rPr>
      </w:pPr>
      <w:r>
        <w:rPr>
          <w:rFonts w:hint="eastAsia" w:ascii="仿宋" w:hAnsi="仿宋" w:eastAsia="仿宋" w:cs="仿宋"/>
          <w:b/>
          <w:sz w:val="24"/>
          <w:highlight w:val="none"/>
          <w:u w:val="single"/>
        </w:rPr>
        <w:t>文件1 法人或者其他组织的营业执照等证明文件，自然人的身份证明（复印件并加盖投标人公章）；</w:t>
      </w:r>
    </w:p>
    <w:p w14:paraId="7F8C13A0">
      <w:pPr>
        <w:snapToGrid w:val="0"/>
        <w:spacing w:before="50" w:after="156" w:afterLines="50" w:line="500" w:lineRule="exact"/>
        <w:ind w:firstLine="482"/>
        <w:jc w:val="left"/>
        <w:rPr>
          <w:rFonts w:ascii="仿宋" w:hAnsi="仿宋" w:eastAsia="仿宋" w:cs="仿宋"/>
          <w:b/>
          <w:sz w:val="24"/>
          <w:highlight w:val="none"/>
          <w:u w:val="single"/>
        </w:rPr>
      </w:pPr>
      <w:r>
        <w:rPr>
          <w:rFonts w:hint="eastAsia" w:ascii="仿宋" w:hAnsi="仿宋" w:eastAsia="仿宋" w:cs="仿宋"/>
          <w:b/>
          <w:sz w:val="24"/>
          <w:highlight w:val="none"/>
          <w:u w:val="single"/>
        </w:rPr>
        <w:t>文件2 上一年度的财务状况报表（成立不满一年无需提供）（复印件并加盖投标人公章）；</w:t>
      </w:r>
    </w:p>
    <w:p w14:paraId="3D03A75B">
      <w:pPr>
        <w:snapToGrid w:val="0"/>
        <w:spacing w:before="50" w:after="156" w:afterLines="50" w:line="500" w:lineRule="exact"/>
        <w:ind w:firstLine="482"/>
        <w:jc w:val="left"/>
        <w:rPr>
          <w:rFonts w:ascii="仿宋" w:hAnsi="仿宋" w:eastAsia="仿宋" w:cs="仿宋"/>
          <w:b/>
          <w:sz w:val="24"/>
          <w:highlight w:val="none"/>
          <w:u w:val="single"/>
        </w:rPr>
      </w:pPr>
      <w:r>
        <w:rPr>
          <w:rFonts w:hint="eastAsia" w:ascii="仿宋" w:hAnsi="仿宋" w:eastAsia="仿宋" w:cs="仿宋"/>
          <w:b/>
          <w:sz w:val="24"/>
          <w:highlight w:val="none"/>
          <w:u w:val="single"/>
        </w:rPr>
        <w:t>文件3 依法缴纳税收和社会保障资金的相关材料（提供提交响应文件截止时间前一年内至少一个月依法缴纳税收及缴纳社会保障资金的证明材料。供应商依法享受缓缴、免缴税收、社会保障资金的提供证明材料）（复印件并加盖投标人公章）；</w:t>
      </w:r>
    </w:p>
    <w:p w14:paraId="260F3BD9">
      <w:pPr>
        <w:snapToGrid w:val="0"/>
        <w:spacing w:before="50" w:after="156" w:afterLines="50" w:line="500" w:lineRule="exact"/>
        <w:ind w:firstLine="482"/>
        <w:jc w:val="left"/>
        <w:rPr>
          <w:rFonts w:ascii="仿宋" w:hAnsi="仿宋" w:eastAsia="仿宋" w:cs="仿宋"/>
          <w:b/>
          <w:sz w:val="24"/>
          <w:highlight w:val="none"/>
          <w:u w:val="single"/>
        </w:rPr>
      </w:pPr>
      <w:r>
        <w:rPr>
          <w:rFonts w:hint="eastAsia" w:ascii="仿宋" w:hAnsi="仿宋" w:eastAsia="仿宋" w:cs="仿宋"/>
          <w:b/>
          <w:sz w:val="24"/>
          <w:highlight w:val="none"/>
          <w:u w:val="single"/>
        </w:rPr>
        <w:t>文件4 具备履行合同所必需的设备和专业技术能力的书面声明（原件，格式见附件）；</w:t>
      </w:r>
    </w:p>
    <w:p w14:paraId="689AF8C4">
      <w:pPr>
        <w:snapToGrid w:val="0"/>
        <w:spacing w:before="50" w:after="156" w:afterLines="50" w:line="500" w:lineRule="exact"/>
        <w:ind w:firstLine="482"/>
        <w:jc w:val="left"/>
        <w:rPr>
          <w:rFonts w:ascii="仿宋" w:hAnsi="仿宋" w:eastAsia="仿宋" w:cs="仿宋"/>
          <w:b/>
          <w:sz w:val="24"/>
          <w:highlight w:val="none"/>
          <w:u w:val="single"/>
        </w:rPr>
      </w:pPr>
      <w:r>
        <w:rPr>
          <w:rFonts w:hint="eastAsia" w:ascii="仿宋" w:hAnsi="仿宋" w:eastAsia="仿宋" w:cs="仿宋"/>
          <w:b/>
          <w:sz w:val="24"/>
          <w:highlight w:val="none"/>
          <w:u w:val="single"/>
        </w:rPr>
        <w:t>文件15 参加政府采购活动前3年内在经营活动中没有重大违法记录的书面声明（原件，格式见附件）；</w:t>
      </w:r>
    </w:p>
    <w:p w14:paraId="12226DCB">
      <w:pPr>
        <w:snapToGrid w:val="0"/>
        <w:spacing w:before="50" w:after="156" w:afterLines="50" w:line="500" w:lineRule="exact"/>
        <w:ind w:firstLine="482"/>
        <w:jc w:val="left"/>
        <w:rPr>
          <w:rFonts w:ascii="仿宋" w:hAnsi="仿宋" w:eastAsia="仿宋" w:cs="仿宋"/>
          <w:b/>
          <w:sz w:val="24"/>
          <w:highlight w:val="none"/>
          <w:u w:val="single"/>
        </w:rPr>
      </w:pPr>
      <w:r>
        <w:rPr>
          <w:rFonts w:hint="eastAsia" w:ascii="仿宋" w:hAnsi="仿宋" w:eastAsia="仿宋" w:cs="仿宋"/>
          <w:b/>
          <w:sz w:val="24"/>
          <w:highlight w:val="none"/>
          <w:u w:val="single"/>
        </w:rPr>
        <w:t>文件6 法人授权书（原件，格式见附表）；</w:t>
      </w:r>
    </w:p>
    <w:p w14:paraId="308EF852">
      <w:pPr>
        <w:snapToGrid w:val="0"/>
        <w:spacing w:before="50" w:after="156" w:afterLines="50" w:line="500" w:lineRule="exact"/>
        <w:ind w:firstLine="482"/>
        <w:jc w:val="left"/>
        <w:rPr>
          <w:rFonts w:hint="eastAsia" w:ascii="仿宋" w:hAnsi="仿宋" w:eastAsia="仿宋" w:cs="仿宋"/>
          <w:b/>
          <w:sz w:val="24"/>
          <w:highlight w:val="none"/>
          <w:u w:val="single"/>
          <w:lang w:val="en-US" w:eastAsia="zh-CN"/>
        </w:rPr>
      </w:pPr>
      <w:r>
        <w:rPr>
          <w:rFonts w:hint="eastAsia" w:ascii="仿宋" w:hAnsi="仿宋" w:eastAsia="仿宋" w:cs="仿宋"/>
          <w:b/>
          <w:sz w:val="24"/>
          <w:highlight w:val="none"/>
          <w:u w:val="single"/>
        </w:rPr>
        <w:t xml:space="preserve">文件7 </w:t>
      </w:r>
      <w:r>
        <w:rPr>
          <w:rFonts w:hint="eastAsia" w:ascii="仿宋" w:hAnsi="仿宋" w:eastAsia="仿宋" w:cs="仿宋"/>
          <w:b/>
          <w:sz w:val="24"/>
          <w:highlight w:val="none"/>
          <w:u w:val="single"/>
          <w:lang w:val="en-US" w:eastAsia="zh-CN"/>
        </w:rPr>
        <w:t>询价公告中关于本项目特定资格要求所需资料；</w:t>
      </w:r>
    </w:p>
    <w:p w14:paraId="04B5CC59">
      <w:pPr>
        <w:pStyle w:val="21"/>
        <w:ind w:firstLine="482" w:firstLineChars="200"/>
        <w:rPr>
          <w:rFonts w:hint="default"/>
          <w:lang w:val="en-US" w:eastAsia="zh-CN"/>
        </w:rPr>
      </w:pPr>
      <w:r>
        <w:rPr>
          <w:rFonts w:hint="eastAsia" w:ascii="仿宋" w:hAnsi="仿宋" w:eastAsia="仿宋" w:cs="仿宋"/>
          <w:b/>
          <w:sz w:val="24"/>
          <w:highlight w:val="none"/>
          <w:u w:val="single"/>
          <w:lang w:val="en-US" w:eastAsia="zh-CN"/>
        </w:rPr>
        <w:t>文件8 承诺函。</w:t>
      </w:r>
    </w:p>
    <w:p w14:paraId="2461C79D">
      <w:pPr>
        <w:pStyle w:val="21"/>
        <w:rPr>
          <w:highlight w:val="none"/>
        </w:rPr>
      </w:pPr>
    </w:p>
    <w:p w14:paraId="31F76A0C">
      <w:pPr>
        <w:pStyle w:val="6"/>
        <w:rPr>
          <w:highlight w:val="none"/>
        </w:rPr>
      </w:pPr>
    </w:p>
    <w:p w14:paraId="139E3542">
      <w:pPr>
        <w:pStyle w:val="6"/>
        <w:rPr>
          <w:rFonts w:ascii="Times New Roman" w:hAnsi="Times New Roman" w:eastAsia="宋体" w:cs="宋体"/>
          <w:kern w:val="0"/>
          <w:sz w:val="24"/>
          <w:highlight w:val="none"/>
        </w:rPr>
      </w:pPr>
    </w:p>
    <w:p w14:paraId="2CA96091">
      <w:pPr>
        <w:rPr>
          <w:rFonts w:ascii="Times New Roman" w:hAnsi="Times New Roman" w:eastAsia="宋体" w:cs="宋体"/>
          <w:kern w:val="0"/>
          <w:sz w:val="24"/>
          <w:highlight w:val="none"/>
        </w:rPr>
      </w:pPr>
    </w:p>
    <w:p w14:paraId="1367632A">
      <w:pPr>
        <w:pStyle w:val="21"/>
        <w:rPr>
          <w:highlight w:val="none"/>
        </w:rPr>
      </w:pPr>
    </w:p>
    <w:p w14:paraId="7BD4E650">
      <w:pPr>
        <w:pStyle w:val="21"/>
        <w:rPr>
          <w:highlight w:val="none"/>
        </w:rPr>
      </w:pPr>
    </w:p>
    <w:p w14:paraId="3B1D62A1">
      <w:pPr>
        <w:pStyle w:val="6"/>
        <w:rPr>
          <w:highlight w:val="none"/>
        </w:rPr>
      </w:pPr>
    </w:p>
    <w:p w14:paraId="1B3E09A1">
      <w:pPr>
        <w:widowControl/>
        <w:wordWrap w:val="0"/>
        <w:spacing w:line="480" w:lineRule="auto"/>
        <w:ind w:firstLine="480" w:firstLineChars="200"/>
        <w:rPr>
          <w:rFonts w:ascii="Times New Roman" w:hAnsi="Times New Roman" w:eastAsia="宋体" w:cs="宋体"/>
          <w:kern w:val="0"/>
          <w:sz w:val="24"/>
          <w:highlight w:val="none"/>
        </w:rPr>
      </w:pPr>
    </w:p>
    <w:p w14:paraId="57611600">
      <w:pPr>
        <w:pStyle w:val="30"/>
        <w:spacing w:beforeAutospacing="0" w:afterAutospacing="0" w:line="500" w:lineRule="exact"/>
        <w:ind w:firstLine="641"/>
        <w:jc w:val="center"/>
        <w:rPr>
          <w:rFonts w:ascii="Times New Roman" w:hAnsi="Times New Roman"/>
          <w:sz w:val="28"/>
          <w:szCs w:val="28"/>
          <w:highlight w:val="none"/>
        </w:rPr>
      </w:pPr>
      <w:r>
        <w:rPr>
          <w:rFonts w:hint="eastAsia" w:ascii="Times New Roman" w:hAnsi="Times New Roman" w:eastAsia="黑体" w:cs="黑体"/>
          <w:i/>
          <w:color w:val="000000"/>
          <w:kern w:val="2"/>
          <w:sz w:val="32"/>
          <w:szCs w:val="32"/>
          <w:highlight w:val="none"/>
          <w:u w:val="single"/>
          <w:lang w:val="en-US" w:eastAsia="zh-CN" w:bidi="ar-SA"/>
        </w:rPr>
        <w:t>文件1</w:t>
      </w:r>
      <w:r>
        <w:rPr>
          <w:rFonts w:hint="eastAsia" w:ascii="Times New Roman" w:hAnsi="Times New Roman" w:eastAsia="黑体" w:cs="黑体"/>
          <w:i/>
          <w:color w:val="000000"/>
          <w:sz w:val="32"/>
          <w:szCs w:val="32"/>
          <w:highlight w:val="none"/>
          <w:u w:val="single"/>
        </w:rPr>
        <w:t>法人或者其他组织的营业执照等证明文件，自然人的身份证明</w:t>
      </w:r>
    </w:p>
    <w:p w14:paraId="17BE22B0">
      <w:pPr>
        <w:pStyle w:val="30"/>
        <w:spacing w:beforeAutospacing="0" w:afterAutospacing="0" w:line="0" w:lineRule="atLeast"/>
        <w:ind w:firstLine="600"/>
        <w:jc w:val="both"/>
        <w:rPr>
          <w:rFonts w:ascii="Times New Roman" w:hAnsi="Times New Roman"/>
          <w:highlight w:val="none"/>
        </w:rPr>
      </w:pPr>
      <w:r>
        <w:rPr>
          <w:rFonts w:ascii="Times New Roman" w:hAnsi="Times New Roman"/>
          <w:highlight w:val="none"/>
        </w:rPr>
        <w:t> </w:t>
      </w:r>
    </w:p>
    <w:p w14:paraId="3A04855D">
      <w:pPr>
        <w:pStyle w:val="31"/>
        <w:spacing w:line="360" w:lineRule="auto"/>
        <w:rPr>
          <w:rFonts w:ascii="Times New Roman" w:hAnsi="Times New Roman"/>
          <w:sz w:val="24"/>
          <w:highlight w:val="none"/>
        </w:rPr>
      </w:pPr>
    </w:p>
    <w:p w14:paraId="19A1E6C4">
      <w:pPr>
        <w:jc w:val="center"/>
        <w:rPr>
          <w:rFonts w:ascii="Times New Roman" w:hAnsi="Times New Roman" w:eastAsia="黑体" w:cs="黑体"/>
          <w:i/>
          <w:color w:val="000000"/>
          <w:sz w:val="32"/>
          <w:szCs w:val="32"/>
          <w:highlight w:val="none"/>
          <w:u w:val="single"/>
        </w:rPr>
      </w:pPr>
      <w:r>
        <w:rPr>
          <w:rFonts w:hint="eastAsia" w:ascii="Times New Roman" w:hAnsi="Times New Roman" w:cs="黑体"/>
          <w:i/>
          <w:color w:val="000000"/>
          <w:sz w:val="32"/>
          <w:szCs w:val="32"/>
          <w:highlight w:val="none"/>
          <w:u w:val="single"/>
        </w:rPr>
        <w:br w:type="page" w:clear="all"/>
      </w:r>
      <w:r>
        <w:rPr>
          <w:rFonts w:hint="eastAsia" w:ascii="Times New Roman" w:hAnsi="Times New Roman" w:eastAsia="黑体" w:cs="黑体"/>
          <w:i/>
          <w:color w:val="000000"/>
          <w:kern w:val="2"/>
          <w:sz w:val="32"/>
          <w:szCs w:val="32"/>
          <w:highlight w:val="none"/>
          <w:u w:val="single"/>
          <w:lang w:val="en-US" w:eastAsia="zh-CN" w:bidi="ar-SA"/>
        </w:rPr>
        <w:t>文件2</w:t>
      </w:r>
      <w:r>
        <w:rPr>
          <w:rFonts w:hint="eastAsia" w:ascii="Times New Roman" w:hAnsi="Times New Roman" w:eastAsia="黑体" w:cs="黑体"/>
          <w:i/>
          <w:color w:val="000000"/>
          <w:sz w:val="32"/>
          <w:szCs w:val="32"/>
          <w:highlight w:val="none"/>
          <w:u w:val="single"/>
        </w:rPr>
        <w:t>上一年度的财务状况报表</w:t>
      </w:r>
    </w:p>
    <w:p w14:paraId="6F35C6D4">
      <w:pPr>
        <w:pStyle w:val="30"/>
        <w:spacing w:beforeAutospacing="0" w:afterAutospacing="0" w:line="380" w:lineRule="exact"/>
        <w:ind w:firstLine="480"/>
        <w:jc w:val="center"/>
        <w:rPr>
          <w:rFonts w:ascii="Times New Roman" w:hAnsi="Times New Roman"/>
          <w:highlight w:val="none"/>
        </w:rPr>
      </w:pPr>
      <w:r>
        <w:rPr>
          <w:rFonts w:hint="eastAsia" w:ascii="Times New Roman" w:hAnsi="Times New Roman"/>
          <w:color w:val="000000"/>
          <w:highlight w:val="none"/>
        </w:rPr>
        <w:t>（投标人成立不满一年不需提供）</w:t>
      </w:r>
    </w:p>
    <w:p w14:paraId="058BED97">
      <w:pPr>
        <w:pStyle w:val="30"/>
        <w:spacing w:beforeAutospacing="0" w:afterAutospacing="0" w:line="380" w:lineRule="exact"/>
        <w:ind w:firstLine="600"/>
        <w:jc w:val="both"/>
        <w:rPr>
          <w:rFonts w:ascii="Times New Roman" w:hAnsi="Times New Roman"/>
          <w:highlight w:val="none"/>
        </w:rPr>
      </w:pPr>
      <w:r>
        <w:rPr>
          <w:rFonts w:ascii="Times New Roman" w:hAnsi="Times New Roman"/>
          <w:highlight w:val="none"/>
        </w:rPr>
        <w:t> </w:t>
      </w:r>
    </w:p>
    <w:p w14:paraId="6FDC62FD">
      <w:pPr>
        <w:pStyle w:val="30"/>
        <w:spacing w:beforeAutospacing="0" w:afterAutospacing="0" w:line="440" w:lineRule="exact"/>
        <w:ind w:firstLine="640"/>
        <w:jc w:val="center"/>
        <w:rPr>
          <w:rFonts w:ascii="Times New Roman" w:hAnsi="Times New Roman"/>
          <w:highlight w:val="none"/>
        </w:rPr>
      </w:pPr>
      <w:r>
        <w:rPr>
          <w:rFonts w:ascii="Times New Roman" w:hAnsi="Times New Roman" w:cs="黑体"/>
          <w:i/>
          <w:color w:val="000000"/>
          <w:sz w:val="32"/>
          <w:szCs w:val="32"/>
          <w:highlight w:val="none"/>
          <w:u w:val="single"/>
        </w:rPr>
        <w:br w:type="page" w:clear="all"/>
      </w:r>
      <w:r>
        <w:rPr>
          <w:rFonts w:hint="eastAsia" w:ascii="Times New Roman" w:hAnsi="Times New Roman" w:eastAsia="黑体" w:cs="黑体"/>
          <w:i/>
          <w:color w:val="000000"/>
          <w:kern w:val="2"/>
          <w:sz w:val="32"/>
          <w:szCs w:val="32"/>
          <w:highlight w:val="none"/>
          <w:u w:val="single"/>
          <w:lang w:val="en-US" w:eastAsia="zh-CN" w:bidi="ar-SA"/>
        </w:rPr>
        <w:t>文件3</w:t>
      </w:r>
      <w:r>
        <w:rPr>
          <w:rFonts w:hint="eastAsia" w:ascii="Times New Roman" w:hAnsi="Times New Roman" w:eastAsia="黑体" w:cs="黑体"/>
          <w:i/>
          <w:color w:val="000000"/>
          <w:sz w:val="32"/>
          <w:szCs w:val="32"/>
          <w:highlight w:val="none"/>
          <w:u w:val="single"/>
        </w:rPr>
        <w:t>依法缴纳税收和社会保障资金的相关材料</w:t>
      </w:r>
    </w:p>
    <w:p w14:paraId="2666AAD6">
      <w:pPr>
        <w:pStyle w:val="24"/>
        <w:widowControl w:val="0"/>
        <w:spacing w:before="0" w:beforeAutospacing="0" w:after="0" w:afterAutospacing="0" w:line="360" w:lineRule="auto"/>
        <w:ind w:firstLine="480"/>
        <w:jc w:val="both"/>
        <w:rPr>
          <w:rFonts w:ascii="Times New Roman" w:hAnsi="Times New Roman"/>
          <w:color w:val="000000"/>
          <w:highlight w:val="none"/>
        </w:rPr>
      </w:pPr>
    </w:p>
    <w:p w14:paraId="71E29C07">
      <w:pPr>
        <w:pStyle w:val="24"/>
        <w:widowControl w:val="0"/>
        <w:spacing w:before="0" w:beforeAutospacing="0" w:after="0" w:afterAutospacing="0" w:line="360" w:lineRule="auto"/>
        <w:ind w:firstLine="480"/>
        <w:jc w:val="both"/>
        <w:rPr>
          <w:rFonts w:ascii="Times New Roman" w:hAnsi="Times New Roman"/>
          <w:highlight w:val="none"/>
        </w:rPr>
      </w:pPr>
      <w:r>
        <w:rPr>
          <w:rFonts w:hint="eastAsia" w:ascii="Times New Roman" w:hAnsi="Times New Roman"/>
          <w:color w:val="000000"/>
          <w:highlight w:val="none"/>
        </w:rPr>
        <w:t>提供提交响应文件截止时间前一年内至少一个月依法缴纳税收及缴纳社会保障资金的证明材料。供应商依法享受缓缴、免缴税收、社会保障资金的提供证明材料。</w:t>
      </w:r>
    </w:p>
    <w:p w14:paraId="6104102E">
      <w:pPr>
        <w:pStyle w:val="30"/>
        <w:spacing w:beforeAutospacing="0" w:afterAutospacing="0" w:line="500" w:lineRule="exact"/>
        <w:jc w:val="center"/>
        <w:rPr>
          <w:rFonts w:ascii="Times New Roman" w:hAnsi="Times New Roman"/>
          <w:highlight w:val="none"/>
        </w:rPr>
      </w:pPr>
      <w:r>
        <w:rPr>
          <w:rFonts w:ascii="Times New Roman" w:hAnsi="Times New Roman" w:cs="黑体"/>
          <w:i/>
          <w:color w:val="000000"/>
          <w:sz w:val="32"/>
          <w:szCs w:val="32"/>
          <w:highlight w:val="none"/>
          <w:u w:val="single"/>
        </w:rPr>
        <w:br w:type="page" w:clear="all"/>
      </w:r>
      <w:r>
        <w:rPr>
          <w:rFonts w:hint="eastAsia" w:ascii="Times New Roman" w:hAnsi="Times New Roman" w:eastAsia="黑体" w:cs="黑体"/>
          <w:i/>
          <w:color w:val="000000"/>
          <w:kern w:val="2"/>
          <w:sz w:val="32"/>
          <w:szCs w:val="32"/>
          <w:highlight w:val="none"/>
          <w:u w:val="single"/>
          <w:lang w:val="en-US" w:eastAsia="zh-CN" w:bidi="ar-SA"/>
        </w:rPr>
        <w:t>文件4</w:t>
      </w:r>
      <w:r>
        <w:rPr>
          <w:rFonts w:hint="eastAsia" w:ascii="Times New Roman" w:hAnsi="Times New Roman" w:eastAsia="黑体" w:cs="黑体"/>
          <w:bCs/>
          <w:i/>
          <w:iCs/>
          <w:color w:val="000000"/>
          <w:sz w:val="32"/>
          <w:szCs w:val="32"/>
          <w:highlight w:val="none"/>
          <w:u w:val="single"/>
        </w:rPr>
        <w:t>具备履行合同所必需的设备和专业技术能力的书面声明</w:t>
      </w:r>
    </w:p>
    <w:p w14:paraId="0E06BDF5">
      <w:pPr>
        <w:pStyle w:val="30"/>
        <w:spacing w:beforeAutospacing="0" w:afterAutospacing="0" w:line="500" w:lineRule="exact"/>
        <w:ind w:firstLine="480"/>
        <w:jc w:val="both"/>
        <w:rPr>
          <w:rFonts w:ascii="Times New Roman" w:hAnsi="Times New Roman"/>
          <w:highlight w:val="none"/>
        </w:rPr>
      </w:pPr>
      <w:r>
        <w:rPr>
          <w:rFonts w:hint="eastAsia" w:ascii="Times New Roman" w:hAnsi="Times New Roman"/>
          <w:color w:val="000000"/>
          <w:highlight w:val="none"/>
        </w:rPr>
        <w:t>我单位郑重声明：我单位具备履行本项采购合同所必需的设备和专业技术能力，为履行本项采购合同我公司具备如下主要设备和主要专业技术能力：</w:t>
      </w:r>
    </w:p>
    <w:p w14:paraId="10D6C0D8">
      <w:pPr>
        <w:pStyle w:val="30"/>
        <w:spacing w:beforeAutospacing="0" w:afterAutospacing="0" w:line="500" w:lineRule="exact"/>
        <w:ind w:firstLine="480"/>
        <w:jc w:val="both"/>
        <w:rPr>
          <w:rFonts w:ascii="Times New Roman" w:hAnsi="Times New Roman"/>
          <w:highlight w:val="none"/>
        </w:rPr>
      </w:pPr>
      <w:r>
        <w:rPr>
          <w:rFonts w:hint="eastAsia" w:ascii="Times New Roman" w:hAnsi="Times New Roman"/>
          <w:color w:val="000000"/>
          <w:highlight w:val="none"/>
        </w:rPr>
        <w:t>主要设备有：</w:t>
      </w:r>
      <w:r>
        <w:rPr>
          <w:rFonts w:hint="eastAsia" w:ascii="Times New Roman" w:hAnsi="Times New Roman"/>
          <w:color w:val="000000"/>
          <w:highlight w:val="none"/>
          <w:u w:val="single"/>
        </w:rPr>
        <w:t xml:space="preserve">  </w:t>
      </w:r>
      <w:r>
        <w:rPr>
          <w:rFonts w:hint="eastAsia" w:ascii="Times New Roman" w:hAnsi="Times New Roman"/>
          <w:color w:val="000000"/>
          <w:highlight w:val="none"/>
        </w:rPr>
        <w:t>。</w:t>
      </w:r>
    </w:p>
    <w:p w14:paraId="3E81699C">
      <w:pPr>
        <w:pStyle w:val="30"/>
        <w:spacing w:beforeAutospacing="0" w:afterAutospacing="0" w:line="500" w:lineRule="exact"/>
        <w:ind w:firstLine="480"/>
        <w:jc w:val="both"/>
        <w:rPr>
          <w:rFonts w:ascii="Times New Roman" w:hAnsi="Times New Roman"/>
          <w:highlight w:val="none"/>
        </w:rPr>
      </w:pPr>
      <w:r>
        <w:rPr>
          <w:rFonts w:hint="eastAsia" w:ascii="Times New Roman" w:hAnsi="Times New Roman"/>
          <w:color w:val="000000"/>
          <w:highlight w:val="none"/>
        </w:rPr>
        <w:t>主要专业技术能力有：</w:t>
      </w:r>
      <w:r>
        <w:rPr>
          <w:rFonts w:hint="eastAsia" w:ascii="Times New Roman" w:hAnsi="Times New Roman"/>
          <w:color w:val="000000"/>
          <w:highlight w:val="none"/>
          <w:u w:val="single"/>
        </w:rPr>
        <w:t xml:space="preserve">   </w:t>
      </w:r>
      <w:r>
        <w:rPr>
          <w:rFonts w:hint="eastAsia" w:ascii="Times New Roman" w:hAnsi="Times New Roman"/>
          <w:color w:val="000000"/>
          <w:highlight w:val="none"/>
        </w:rPr>
        <w:t>。</w:t>
      </w:r>
    </w:p>
    <w:p w14:paraId="4ABCA984">
      <w:pPr>
        <w:pStyle w:val="30"/>
        <w:spacing w:beforeAutospacing="0" w:afterAutospacing="0" w:line="0" w:lineRule="atLeast"/>
        <w:ind w:firstLine="480"/>
        <w:jc w:val="both"/>
        <w:rPr>
          <w:rFonts w:ascii="Times New Roman" w:hAnsi="Times New Roman"/>
          <w:highlight w:val="none"/>
        </w:rPr>
      </w:pPr>
      <w:r>
        <w:rPr>
          <w:rFonts w:hint="eastAsia" w:ascii="Times New Roman" w:hAnsi="Times New Roman"/>
          <w:color w:val="000000"/>
          <w:highlight w:val="none"/>
        </w:rPr>
        <w:t xml:space="preserve">                                     </w:t>
      </w:r>
    </w:p>
    <w:p w14:paraId="46960402">
      <w:pPr>
        <w:pStyle w:val="30"/>
        <w:spacing w:beforeAutospacing="0" w:afterAutospacing="0"/>
        <w:ind w:firstLine="600"/>
        <w:jc w:val="both"/>
        <w:rPr>
          <w:rFonts w:ascii="Times New Roman" w:hAnsi="Times New Roman"/>
          <w:highlight w:val="none"/>
        </w:rPr>
      </w:pPr>
      <w:r>
        <w:rPr>
          <w:rFonts w:ascii="Times New Roman" w:hAnsi="Times New Roman"/>
          <w:highlight w:val="none"/>
        </w:rPr>
        <w:t> </w:t>
      </w:r>
    </w:p>
    <w:p w14:paraId="6B9E4660">
      <w:pPr>
        <w:spacing w:line="480" w:lineRule="auto"/>
        <w:ind w:firstLine="4320" w:firstLineChars="1800"/>
        <w:rPr>
          <w:rFonts w:ascii="宋体" w:hAnsi="宋体" w:eastAsia="宋体" w:cs="宋体"/>
          <w:bCs/>
          <w:sz w:val="24"/>
          <w:highlight w:val="none"/>
          <w:lang w:eastAsia="zh-CN"/>
        </w:rPr>
      </w:pPr>
      <w:r>
        <w:rPr>
          <w:rFonts w:hint="eastAsia" w:ascii="宋体" w:hAnsi="宋体" w:eastAsia="宋体" w:cs="宋体"/>
          <w:bCs/>
          <w:sz w:val="24"/>
          <w:highlight w:val="none"/>
          <w:lang w:eastAsia="zh-CN"/>
        </w:rPr>
        <w:t xml:space="preserve">  供应商名称（公章）：</w:t>
      </w:r>
    </w:p>
    <w:p w14:paraId="665FBD0D">
      <w:pPr>
        <w:spacing w:line="480" w:lineRule="auto"/>
        <w:rPr>
          <w:rFonts w:ascii="宋体" w:hAnsi="宋体" w:eastAsia="宋体" w:cs="宋体"/>
          <w:bCs/>
          <w:sz w:val="24"/>
          <w:highlight w:val="none"/>
          <w:lang w:eastAsia="zh-CN"/>
        </w:rPr>
      </w:pPr>
      <w:r>
        <w:rPr>
          <w:rFonts w:hint="eastAsia" w:ascii="宋体" w:hAnsi="宋体" w:eastAsia="宋体" w:cs="宋体"/>
          <w:bCs/>
          <w:sz w:val="24"/>
          <w:highlight w:val="none"/>
          <w:lang w:eastAsia="zh-CN"/>
        </w:rPr>
        <w:t xml:space="preserve">                                      </w:t>
      </w:r>
      <w:r>
        <w:rPr>
          <w:rFonts w:hint="eastAsia" w:ascii="宋体" w:hAnsi="宋体" w:eastAsia="宋体" w:cs="宋体"/>
          <w:sz w:val="24"/>
          <w:highlight w:val="none"/>
          <w:lang w:eastAsia="zh-CN"/>
        </w:rPr>
        <w:t>法定代表人或授权代表（签字或盖章）：</w:t>
      </w:r>
    </w:p>
    <w:p w14:paraId="2B07D7AF">
      <w:pPr>
        <w:spacing w:line="480" w:lineRule="auto"/>
        <w:rPr>
          <w:rFonts w:ascii="宋体" w:hAnsi="宋体" w:eastAsia="宋体" w:cs="宋体"/>
          <w:bCs/>
          <w:sz w:val="24"/>
          <w:highlight w:val="none"/>
          <w:lang w:eastAsia="zh-CN"/>
        </w:rPr>
      </w:pPr>
      <w:r>
        <w:rPr>
          <w:rFonts w:hint="eastAsia" w:ascii="宋体" w:hAnsi="宋体" w:eastAsia="宋体" w:cs="宋体"/>
          <w:bCs/>
          <w:sz w:val="24"/>
          <w:highlight w:val="none"/>
          <w:lang w:eastAsia="zh-CN"/>
        </w:rPr>
        <w:t xml:space="preserve">                                      日期：</w:t>
      </w:r>
      <w:r>
        <w:rPr>
          <w:rFonts w:hint="eastAsia" w:ascii="宋体" w:hAnsi="宋体" w:eastAsia="宋体" w:cs="宋体"/>
          <w:bCs/>
          <w:sz w:val="24"/>
          <w:highlight w:val="none"/>
          <w:u w:val="single"/>
          <w:lang w:eastAsia="zh-CN"/>
        </w:rPr>
        <w:t xml:space="preserve">      </w:t>
      </w:r>
      <w:r>
        <w:rPr>
          <w:rFonts w:hint="eastAsia" w:ascii="宋体" w:hAnsi="宋体" w:eastAsia="宋体" w:cs="宋体"/>
          <w:bCs/>
          <w:sz w:val="24"/>
          <w:highlight w:val="none"/>
          <w:lang w:eastAsia="zh-CN"/>
        </w:rPr>
        <w:t>年</w:t>
      </w:r>
      <w:r>
        <w:rPr>
          <w:rFonts w:hint="eastAsia" w:ascii="宋体" w:hAnsi="宋体" w:eastAsia="宋体" w:cs="宋体"/>
          <w:bCs/>
          <w:sz w:val="24"/>
          <w:highlight w:val="none"/>
          <w:u w:val="single"/>
          <w:lang w:eastAsia="zh-CN"/>
        </w:rPr>
        <w:t xml:space="preserve">    </w:t>
      </w:r>
      <w:r>
        <w:rPr>
          <w:rFonts w:hint="eastAsia" w:ascii="宋体" w:hAnsi="宋体" w:eastAsia="宋体" w:cs="宋体"/>
          <w:bCs/>
          <w:sz w:val="24"/>
          <w:highlight w:val="none"/>
          <w:lang w:eastAsia="zh-CN"/>
        </w:rPr>
        <w:t>月</w:t>
      </w:r>
      <w:r>
        <w:rPr>
          <w:rFonts w:hint="eastAsia" w:ascii="宋体" w:hAnsi="宋体" w:eastAsia="宋体" w:cs="宋体"/>
          <w:bCs/>
          <w:sz w:val="24"/>
          <w:highlight w:val="none"/>
          <w:u w:val="single"/>
          <w:lang w:eastAsia="zh-CN"/>
        </w:rPr>
        <w:t xml:space="preserve">    </w:t>
      </w:r>
      <w:r>
        <w:rPr>
          <w:rFonts w:hint="eastAsia" w:ascii="宋体" w:hAnsi="宋体" w:eastAsia="宋体" w:cs="宋体"/>
          <w:bCs/>
          <w:sz w:val="24"/>
          <w:highlight w:val="none"/>
          <w:lang w:eastAsia="zh-CN"/>
        </w:rPr>
        <w:t>日</w:t>
      </w:r>
    </w:p>
    <w:p w14:paraId="446A75D6">
      <w:pPr>
        <w:pStyle w:val="30"/>
        <w:spacing w:beforeAutospacing="0" w:afterAutospacing="0" w:line="500" w:lineRule="exact"/>
        <w:ind w:firstLine="640"/>
        <w:jc w:val="center"/>
        <w:rPr>
          <w:rFonts w:ascii="Times New Roman" w:hAnsi="Times New Roman"/>
          <w:highlight w:val="none"/>
        </w:rPr>
      </w:pPr>
      <w:r>
        <w:rPr>
          <w:rFonts w:ascii="Times New Roman" w:hAnsi="Times New Roman" w:cs="黑体"/>
          <w:i/>
          <w:color w:val="000000"/>
          <w:sz w:val="32"/>
          <w:szCs w:val="32"/>
          <w:highlight w:val="none"/>
          <w:u w:val="single"/>
        </w:rPr>
        <w:br w:type="page" w:clear="all"/>
      </w:r>
      <w:r>
        <w:rPr>
          <w:rFonts w:hint="eastAsia" w:ascii="Times New Roman" w:hAnsi="Times New Roman" w:eastAsia="黑体" w:cs="黑体"/>
          <w:i/>
          <w:color w:val="000000"/>
          <w:kern w:val="2"/>
          <w:sz w:val="32"/>
          <w:szCs w:val="32"/>
          <w:highlight w:val="none"/>
          <w:u w:val="single"/>
          <w:lang w:val="en-US" w:eastAsia="zh-CN" w:bidi="ar-SA"/>
        </w:rPr>
        <w:t>文件5</w:t>
      </w:r>
      <w:r>
        <w:rPr>
          <w:rFonts w:hint="eastAsia" w:ascii="Times New Roman" w:hAnsi="Times New Roman" w:eastAsia="黑体" w:cs="黑体"/>
          <w:i/>
          <w:color w:val="000000"/>
          <w:sz w:val="32"/>
          <w:szCs w:val="32"/>
          <w:highlight w:val="none"/>
          <w:u w:val="single"/>
        </w:rPr>
        <w:t>参加政府采购活动前 3 年内在经营活动中没有重大违法记录的书面声明</w:t>
      </w:r>
    </w:p>
    <w:p w14:paraId="4B443348">
      <w:pPr>
        <w:pStyle w:val="30"/>
        <w:spacing w:beforeAutospacing="0" w:afterAutospacing="0" w:line="500" w:lineRule="exact"/>
        <w:ind w:firstLine="883"/>
        <w:jc w:val="both"/>
        <w:rPr>
          <w:rFonts w:ascii="Times New Roman" w:hAnsi="Times New Roman"/>
          <w:highlight w:val="none"/>
        </w:rPr>
      </w:pPr>
      <w:r>
        <w:rPr>
          <w:rFonts w:hint="eastAsia" w:ascii="Times New Roman" w:hAnsi="Times New Roman"/>
          <w:b/>
          <w:color w:val="000000"/>
          <w:sz w:val="44"/>
          <w:szCs w:val="44"/>
          <w:highlight w:val="none"/>
        </w:rPr>
        <w:t>             声  明</w:t>
      </w:r>
    </w:p>
    <w:p w14:paraId="2F31CDFC">
      <w:pPr>
        <w:pStyle w:val="30"/>
        <w:spacing w:beforeAutospacing="0" w:afterAutospacing="0" w:line="500" w:lineRule="exact"/>
        <w:ind w:firstLine="482"/>
        <w:jc w:val="both"/>
        <w:rPr>
          <w:rFonts w:ascii="Times New Roman" w:hAnsi="Times New Roman"/>
          <w:highlight w:val="none"/>
        </w:rPr>
      </w:pPr>
      <w:r>
        <w:rPr>
          <w:rFonts w:hint="eastAsia" w:ascii="Times New Roman" w:hAnsi="Times New Roman"/>
          <w:color w:val="000000"/>
          <w:highlight w:val="none"/>
        </w:rPr>
        <w:t>我单位郑重声明：参加本次政府采购活动前 3 年内，我单位在经营活动中没有因违法经营受到刑事处罚或者责令停产停业、吊销许可证或者执照、较大数额罚款等行政处罚。</w:t>
      </w:r>
    </w:p>
    <w:p w14:paraId="7925DB83">
      <w:pPr>
        <w:pStyle w:val="30"/>
        <w:spacing w:beforeAutospacing="0" w:afterAutospacing="0" w:line="500" w:lineRule="exact"/>
        <w:ind w:firstLine="600"/>
        <w:jc w:val="both"/>
        <w:rPr>
          <w:rFonts w:ascii="Times New Roman" w:hAnsi="Times New Roman"/>
          <w:highlight w:val="none"/>
        </w:rPr>
      </w:pPr>
      <w:r>
        <w:rPr>
          <w:rFonts w:ascii="Times New Roman" w:hAnsi="Times New Roman"/>
          <w:highlight w:val="none"/>
        </w:rPr>
        <w:t> </w:t>
      </w:r>
    </w:p>
    <w:p w14:paraId="355C8FD1">
      <w:pPr>
        <w:spacing w:line="480" w:lineRule="auto"/>
        <w:ind w:firstLine="4320" w:firstLineChars="1800"/>
        <w:rPr>
          <w:rFonts w:ascii="宋体" w:hAnsi="宋体" w:eastAsia="宋体" w:cs="宋体"/>
          <w:bCs/>
          <w:sz w:val="24"/>
          <w:highlight w:val="none"/>
          <w:lang w:eastAsia="zh-CN"/>
        </w:rPr>
      </w:pPr>
      <w:r>
        <w:rPr>
          <w:rFonts w:hint="eastAsia" w:ascii="宋体" w:hAnsi="宋体" w:eastAsia="宋体" w:cs="宋体"/>
          <w:bCs/>
          <w:sz w:val="24"/>
          <w:highlight w:val="none"/>
          <w:lang w:eastAsia="zh-CN"/>
        </w:rPr>
        <w:t xml:space="preserve">  供应商名称（公章）：</w:t>
      </w:r>
    </w:p>
    <w:p w14:paraId="192A7F66">
      <w:pPr>
        <w:spacing w:line="480" w:lineRule="auto"/>
        <w:rPr>
          <w:rFonts w:ascii="宋体" w:hAnsi="宋体" w:eastAsia="宋体" w:cs="宋体"/>
          <w:bCs/>
          <w:sz w:val="24"/>
          <w:highlight w:val="none"/>
          <w:lang w:eastAsia="zh-CN"/>
        </w:rPr>
      </w:pPr>
      <w:r>
        <w:rPr>
          <w:rFonts w:hint="eastAsia" w:ascii="宋体" w:hAnsi="宋体" w:eastAsia="宋体" w:cs="宋体"/>
          <w:bCs/>
          <w:sz w:val="24"/>
          <w:highlight w:val="none"/>
          <w:lang w:eastAsia="zh-CN"/>
        </w:rPr>
        <w:t xml:space="preserve">                                      </w:t>
      </w:r>
      <w:r>
        <w:rPr>
          <w:rFonts w:hint="eastAsia" w:ascii="宋体" w:hAnsi="宋体" w:eastAsia="宋体" w:cs="宋体"/>
          <w:sz w:val="24"/>
          <w:highlight w:val="none"/>
          <w:lang w:eastAsia="zh-CN"/>
        </w:rPr>
        <w:t>法定代表人或授权代表（签字或盖章）：</w:t>
      </w:r>
    </w:p>
    <w:p w14:paraId="6C9FCECA">
      <w:pPr>
        <w:spacing w:line="480" w:lineRule="auto"/>
        <w:rPr>
          <w:rFonts w:hint="eastAsia" w:ascii="宋体" w:hAnsi="宋体" w:eastAsia="宋体" w:cs="宋体"/>
          <w:bCs/>
          <w:sz w:val="24"/>
          <w:highlight w:val="none"/>
          <w:lang w:eastAsia="zh-CN"/>
        </w:rPr>
      </w:pPr>
      <w:r>
        <w:rPr>
          <w:rFonts w:hint="eastAsia" w:ascii="宋体" w:hAnsi="宋体" w:eastAsia="宋体" w:cs="宋体"/>
          <w:bCs/>
          <w:sz w:val="24"/>
          <w:highlight w:val="none"/>
          <w:lang w:eastAsia="zh-CN"/>
        </w:rPr>
        <w:t xml:space="preserve">                                      日期：</w:t>
      </w:r>
      <w:r>
        <w:rPr>
          <w:rFonts w:hint="eastAsia" w:ascii="宋体" w:hAnsi="宋体" w:eastAsia="宋体" w:cs="宋体"/>
          <w:bCs/>
          <w:sz w:val="24"/>
          <w:highlight w:val="none"/>
          <w:u w:val="single"/>
          <w:lang w:eastAsia="zh-CN"/>
        </w:rPr>
        <w:t xml:space="preserve">      </w:t>
      </w:r>
      <w:r>
        <w:rPr>
          <w:rFonts w:hint="eastAsia" w:ascii="宋体" w:hAnsi="宋体" w:eastAsia="宋体" w:cs="宋体"/>
          <w:bCs/>
          <w:sz w:val="24"/>
          <w:highlight w:val="none"/>
          <w:lang w:eastAsia="zh-CN"/>
        </w:rPr>
        <w:t>年</w:t>
      </w:r>
      <w:r>
        <w:rPr>
          <w:rFonts w:hint="eastAsia" w:ascii="宋体" w:hAnsi="宋体" w:eastAsia="宋体" w:cs="宋体"/>
          <w:bCs/>
          <w:sz w:val="24"/>
          <w:highlight w:val="none"/>
          <w:u w:val="single"/>
          <w:lang w:eastAsia="zh-CN"/>
        </w:rPr>
        <w:t xml:space="preserve">    </w:t>
      </w:r>
      <w:r>
        <w:rPr>
          <w:rFonts w:hint="eastAsia" w:ascii="宋体" w:hAnsi="宋体" w:eastAsia="宋体" w:cs="宋体"/>
          <w:bCs/>
          <w:sz w:val="24"/>
          <w:highlight w:val="none"/>
          <w:lang w:eastAsia="zh-CN"/>
        </w:rPr>
        <w:t>月</w:t>
      </w:r>
      <w:r>
        <w:rPr>
          <w:rFonts w:hint="eastAsia" w:ascii="宋体" w:hAnsi="宋体" w:eastAsia="宋体" w:cs="宋体"/>
          <w:bCs/>
          <w:sz w:val="24"/>
          <w:highlight w:val="none"/>
          <w:u w:val="single"/>
          <w:lang w:eastAsia="zh-CN"/>
        </w:rPr>
        <w:t xml:space="preserve">    </w:t>
      </w:r>
      <w:r>
        <w:rPr>
          <w:rFonts w:hint="eastAsia" w:ascii="宋体" w:hAnsi="宋体" w:eastAsia="宋体" w:cs="宋体"/>
          <w:bCs/>
          <w:sz w:val="24"/>
          <w:highlight w:val="none"/>
          <w:lang w:eastAsia="zh-CN"/>
        </w:rPr>
        <w:t>日</w:t>
      </w:r>
    </w:p>
    <w:p w14:paraId="075909B0">
      <w:pPr>
        <w:spacing w:line="480" w:lineRule="auto"/>
        <w:rPr>
          <w:rFonts w:hint="eastAsia" w:ascii="宋体" w:hAnsi="宋体" w:eastAsia="宋体" w:cs="宋体"/>
          <w:bCs/>
          <w:sz w:val="24"/>
          <w:highlight w:val="none"/>
          <w:lang w:eastAsia="zh-CN"/>
        </w:rPr>
      </w:pPr>
    </w:p>
    <w:p w14:paraId="220181A2">
      <w:pPr>
        <w:spacing w:line="480" w:lineRule="auto"/>
        <w:rPr>
          <w:rFonts w:hint="eastAsia" w:ascii="宋体" w:hAnsi="宋体" w:eastAsia="宋体" w:cs="宋体"/>
          <w:bCs/>
          <w:sz w:val="24"/>
          <w:highlight w:val="none"/>
          <w:lang w:eastAsia="zh-CN"/>
        </w:rPr>
      </w:pPr>
    </w:p>
    <w:p w14:paraId="1CBF9FE1">
      <w:pPr>
        <w:spacing w:line="480" w:lineRule="auto"/>
        <w:rPr>
          <w:rFonts w:hint="eastAsia" w:ascii="宋体" w:hAnsi="宋体" w:eastAsia="宋体" w:cs="宋体"/>
          <w:bCs/>
          <w:sz w:val="24"/>
          <w:highlight w:val="none"/>
          <w:lang w:eastAsia="zh-CN"/>
        </w:rPr>
      </w:pPr>
    </w:p>
    <w:p w14:paraId="05720FFC">
      <w:pPr>
        <w:spacing w:line="480" w:lineRule="auto"/>
        <w:rPr>
          <w:rFonts w:hint="eastAsia" w:ascii="宋体" w:hAnsi="宋体" w:eastAsia="宋体" w:cs="宋体"/>
          <w:bCs/>
          <w:sz w:val="24"/>
          <w:highlight w:val="none"/>
          <w:lang w:eastAsia="zh-CN"/>
        </w:rPr>
      </w:pPr>
    </w:p>
    <w:p w14:paraId="7D8E2624">
      <w:pPr>
        <w:spacing w:line="480" w:lineRule="auto"/>
        <w:rPr>
          <w:rFonts w:hint="eastAsia" w:ascii="宋体" w:hAnsi="宋体" w:eastAsia="宋体" w:cs="宋体"/>
          <w:bCs/>
          <w:sz w:val="24"/>
          <w:highlight w:val="none"/>
          <w:lang w:eastAsia="zh-CN"/>
        </w:rPr>
      </w:pPr>
    </w:p>
    <w:p w14:paraId="60608FE9">
      <w:pPr>
        <w:spacing w:line="480" w:lineRule="auto"/>
        <w:rPr>
          <w:rFonts w:hint="eastAsia" w:ascii="宋体" w:hAnsi="宋体" w:eastAsia="宋体" w:cs="宋体"/>
          <w:bCs/>
          <w:sz w:val="24"/>
          <w:highlight w:val="none"/>
          <w:lang w:eastAsia="zh-CN"/>
        </w:rPr>
      </w:pPr>
    </w:p>
    <w:p w14:paraId="3077EC35">
      <w:pPr>
        <w:spacing w:line="480" w:lineRule="auto"/>
        <w:rPr>
          <w:rFonts w:hint="eastAsia" w:ascii="宋体" w:hAnsi="宋体" w:eastAsia="宋体" w:cs="宋体"/>
          <w:bCs/>
          <w:sz w:val="24"/>
          <w:highlight w:val="none"/>
          <w:lang w:eastAsia="zh-CN"/>
        </w:rPr>
      </w:pPr>
    </w:p>
    <w:p w14:paraId="4D5DE831">
      <w:pPr>
        <w:spacing w:line="480" w:lineRule="auto"/>
        <w:rPr>
          <w:rFonts w:hint="eastAsia" w:ascii="宋体" w:hAnsi="宋体" w:eastAsia="宋体" w:cs="宋体"/>
          <w:bCs/>
          <w:sz w:val="24"/>
          <w:highlight w:val="none"/>
          <w:lang w:eastAsia="zh-CN"/>
        </w:rPr>
      </w:pPr>
    </w:p>
    <w:p w14:paraId="07BC085C">
      <w:pPr>
        <w:spacing w:line="480" w:lineRule="auto"/>
        <w:rPr>
          <w:rFonts w:hint="eastAsia" w:ascii="宋体" w:hAnsi="宋体" w:eastAsia="宋体" w:cs="宋体"/>
          <w:bCs/>
          <w:sz w:val="24"/>
          <w:highlight w:val="none"/>
          <w:lang w:eastAsia="zh-CN"/>
        </w:rPr>
      </w:pPr>
    </w:p>
    <w:p w14:paraId="6BB656FB">
      <w:pPr>
        <w:spacing w:line="480" w:lineRule="auto"/>
        <w:rPr>
          <w:rFonts w:hint="eastAsia" w:ascii="宋体" w:hAnsi="宋体" w:eastAsia="宋体" w:cs="宋体"/>
          <w:bCs/>
          <w:sz w:val="24"/>
          <w:highlight w:val="none"/>
          <w:lang w:eastAsia="zh-CN"/>
        </w:rPr>
      </w:pPr>
    </w:p>
    <w:p w14:paraId="71F6D234">
      <w:pPr>
        <w:spacing w:line="480" w:lineRule="auto"/>
        <w:rPr>
          <w:rFonts w:hint="eastAsia" w:ascii="宋体" w:hAnsi="宋体" w:eastAsia="宋体" w:cs="宋体"/>
          <w:bCs/>
          <w:sz w:val="24"/>
          <w:highlight w:val="none"/>
          <w:lang w:eastAsia="zh-CN"/>
        </w:rPr>
      </w:pPr>
    </w:p>
    <w:p w14:paraId="46D679B0">
      <w:pPr>
        <w:pStyle w:val="30"/>
        <w:spacing w:beforeAutospacing="0" w:afterAutospacing="0" w:line="500" w:lineRule="exact"/>
        <w:ind w:firstLine="480"/>
        <w:jc w:val="both"/>
        <w:rPr>
          <w:rFonts w:ascii="Times New Roman" w:hAnsi="Times New Roman"/>
          <w:highlight w:val="none"/>
        </w:rPr>
      </w:pPr>
    </w:p>
    <w:p w14:paraId="2AC11A35">
      <w:pPr>
        <w:pStyle w:val="30"/>
        <w:spacing w:beforeAutospacing="0" w:afterAutospacing="0" w:line="0" w:lineRule="atLeast"/>
        <w:ind w:firstLine="600"/>
        <w:jc w:val="center"/>
        <w:rPr>
          <w:rFonts w:ascii="Times New Roman" w:hAnsi="Times New Roman"/>
          <w:highlight w:val="none"/>
        </w:rPr>
      </w:pPr>
      <w:r>
        <w:rPr>
          <w:rFonts w:hint="eastAsia" w:ascii="Times New Roman" w:hAnsi="Times New Roman" w:eastAsia="黑体" w:cs="黑体"/>
          <w:i/>
          <w:color w:val="000000"/>
          <w:kern w:val="2"/>
          <w:sz w:val="32"/>
          <w:szCs w:val="32"/>
          <w:highlight w:val="none"/>
          <w:u w:val="single"/>
          <w:lang w:val="en-US" w:eastAsia="zh-CN" w:bidi="ar-SA"/>
        </w:rPr>
        <w:t xml:space="preserve">文件6 </w:t>
      </w:r>
      <w:r>
        <w:rPr>
          <w:rFonts w:hint="eastAsia" w:ascii="Times New Roman" w:hAnsi="Times New Roman" w:eastAsia="黑体" w:cs="黑体"/>
          <w:i/>
          <w:color w:val="000000"/>
          <w:sz w:val="32"/>
          <w:szCs w:val="32"/>
          <w:highlight w:val="none"/>
          <w:u w:val="single"/>
        </w:rPr>
        <w:t>法人授权书</w:t>
      </w:r>
    </w:p>
    <w:p w14:paraId="4E330639">
      <w:pPr>
        <w:pStyle w:val="30"/>
        <w:tabs>
          <w:tab w:val="left" w:pos="360"/>
        </w:tabs>
        <w:spacing w:beforeAutospacing="0" w:afterAutospacing="0" w:line="500" w:lineRule="exact"/>
        <w:ind w:firstLine="480"/>
        <w:jc w:val="both"/>
        <w:rPr>
          <w:rFonts w:ascii="Times New Roman" w:hAnsi="Times New Roman"/>
          <w:highlight w:val="none"/>
        </w:rPr>
      </w:pPr>
      <w:r>
        <w:rPr>
          <w:rFonts w:ascii="Times New Roman" w:hAnsi="Times New Roman"/>
          <w:color w:val="000000"/>
          <w:highlight w:val="none"/>
        </w:rPr>
        <w:t>本授权书声明：____________（投标人名称）授权________________（被授权人的姓名）为我方就</w:t>
      </w:r>
      <w:r>
        <w:rPr>
          <w:rFonts w:hint="eastAsia" w:ascii="Times New Roman" w:hAnsi="Times New Roman"/>
          <w:color w:val="000000"/>
          <w:highlight w:val="none"/>
          <w:u w:val="single"/>
        </w:rPr>
        <w:t xml:space="preserve"> （项目编号）</w:t>
      </w:r>
      <w:r>
        <w:rPr>
          <w:rFonts w:ascii="Times New Roman" w:hAnsi="Times New Roman"/>
          <w:color w:val="000000"/>
          <w:highlight w:val="none"/>
        </w:rPr>
        <w:t>号</w:t>
      </w:r>
      <w:r>
        <w:rPr>
          <w:rFonts w:hint="eastAsia" w:ascii="Times New Roman" w:hAnsi="Times New Roman"/>
          <w:color w:val="000000"/>
          <w:highlight w:val="none"/>
          <w:u w:val="single"/>
        </w:rPr>
        <w:t>（项目名称）</w:t>
      </w:r>
      <w:r>
        <w:rPr>
          <w:rFonts w:ascii="Times New Roman" w:hAnsi="Times New Roman"/>
          <w:color w:val="000000"/>
          <w:highlight w:val="none"/>
        </w:rPr>
        <w:t>采购活动的合法代理人，以本单位名义全权处理一切与该项目采购有关的事务。</w:t>
      </w:r>
    </w:p>
    <w:p w14:paraId="6AD17DA8">
      <w:pPr>
        <w:pStyle w:val="30"/>
        <w:tabs>
          <w:tab w:val="left" w:pos="360"/>
        </w:tabs>
        <w:spacing w:beforeAutospacing="0" w:afterAutospacing="0" w:line="500" w:lineRule="exact"/>
        <w:ind w:firstLine="480"/>
        <w:jc w:val="both"/>
        <w:rPr>
          <w:rFonts w:ascii="Times New Roman" w:hAnsi="Times New Roman"/>
          <w:highlight w:val="none"/>
        </w:rPr>
      </w:pPr>
      <w:r>
        <w:rPr>
          <w:rFonts w:ascii="Times New Roman" w:hAnsi="Times New Roman"/>
          <w:color w:val="000000"/>
          <w:highlight w:val="none"/>
        </w:rPr>
        <w:t>本授权书于______年____月____日起生效，特此声明。</w:t>
      </w:r>
    </w:p>
    <w:p w14:paraId="6FD77D1B">
      <w:pPr>
        <w:pStyle w:val="30"/>
        <w:tabs>
          <w:tab w:val="left" w:pos="360"/>
        </w:tabs>
        <w:spacing w:beforeAutospacing="0" w:afterAutospacing="0" w:line="500" w:lineRule="exact"/>
        <w:ind w:firstLine="480"/>
        <w:jc w:val="both"/>
        <w:rPr>
          <w:rFonts w:ascii="Times New Roman" w:hAnsi="Times New Roman"/>
          <w:highlight w:val="none"/>
        </w:rPr>
      </w:pPr>
      <w:r>
        <w:rPr>
          <w:rFonts w:ascii="Times New Roman" w:hAnsi="Times New Roman"/>
          <w:color w:val="000000"/>
          <w:highlight w:val="none"/>
        </w:rPr>
        <w:t>被授权人身份证号码：</w:t>
      </w:r>
      <w:r>
        <w:rPr>
          <w:rFonts w:ascii="Times New Roman" w:hAnsi="Times New Roman"/>
          <w:color w:val="000000"/>
          <w:highlight w:val="none"/>
          <w:u w:val="single"/>
        </w:rPr>
        <w:t>              </w:t>
      </w:r>
    </w:p>
    <w:p w14:paraId="13E2B640">
      <w:pPr>
        <w:pStyle w:val="30"/>
        <w:tabs>
          <w:tab w:val="left" w:pos="360"/>
        </w:tabs>
        <w:spacing w:beforeAutospacing="0" w:afterAutospacing="0" w:line="500" w:lineRule="exact"/>
        <w:ind w:firstLine="480"/>
        <w:jc w:val="both"/>
        <w:rPr>
          <w:rFonts w:ascii="Times New Roman" w:hAnsi="Times New Roman"/>
          <w:highlight w:val="none"/>
        </w:rPr>
      </w:pPr>
      <w:r>
        <w:rPr>
          <w:rFonts w:ascii="Times New Roman" w:hAnsi="Times New Roman"/>
          <w:color w:val="000000"/>
          <w:highlight w:val="none"/>
        </w:rPr>
        <w:t>被授权人联系电话：（手机）</w:t>
      </w:r>
      <w:r>
        <w:rPr>
          <w:rFonts w:ascii="Times New Roman" w:hAnsi="Times New Roman"/>
          <w:color w:val="000000"/>
          <w:highlight w:val="none"/>
          <w:u w:val="single"/>
        </w:rPr>
        <w:t>           </w:t>
      </w:r>
    </w:p>
    <w:p w14:paraId="737B27A9">
      <w:pPr>
        <w:pStyle w:val="30"/>
        <w:tabs>
          <w:tab w:val="left" w:pos="360"/>
        </w:tabs>
        <w:spacing w:beforeAutospacing="0" w:afterAutospacing="0" w:line="500" w:lineRule="exact"/>
        <w:ind w:firstLine="480"/>
        <w:jc w:val="both"/>
        <w:rPr>
          <w:rFonts w:ascii="Times New Roman" w:hAnsi="Times New Roman"/>
          <w:highlight w:val="none"/>
        </w:rPr>
      </w:pPr>
      <w:r>
        <w:rPr>
          <w:rFonts w:ascii="Times New Roman" w:hAnsi="Times New Roman"/>
          <w:color w:val="000000"/>
          <w:highlight w:val="none"/>
        </w:rPr>
        <w:t>授权单位名称：</w:t>
      </w:r>
      <w:r>
        <w:rPr>
          <w:rFonts w:hint="eastAsia" w:ascii="Times New Roman" w:hAnsi="Times New Roman"/>
          <w:color w:val="000000"/>
          <w:highlight w:val="none"/>
          <w:u w:val="single"/>
        </w:rPr>
        <w:t xml:space="preserve">       </w:t>
      </w:r>
      <w:r>
        <w:rPr>
          <w:rFonts w:ascii="Times New Roman" w:hAnsi="Times New Roman"/>
          <w:color w:val="000000"/>
          <w:highlight w:val="none"/>
          <w:u w:val="single"/>
        </w:rPr>
        <w:t>（加盖公章）</w:t>
      </w:r>
      <w:r>
        <w:rPr>
          <w:rFonts w:hint="eastAsia" w:ascii="Times New Roman" w:hAnsi="Times New Roman"/>
          <w:color w:val="000000"/>
          <w:highlight w:val="none"/>
          <w:u w:val="single"/>
        </w:rPr>
        <w:t xml:space="preserve">              </w:t>
      </w:r>
    </w:p>
    <w:p w14:paraId="6877EBB8">
      <w:pPr>
        <w:pStyle w:val="30"/>
        <w:tabs>
          <w:tab w:val="left" w:pos="360"/>
        </w:tabs>
        <w:spacing w:beforeAutospacing="0" w:afterAutospacing="0" w:line="500" w:lineRule="exact"/>
        <w:ind w:firstLine="480"/>
        <w:jc w:val="both"/>
        <w:rPr>
          <w:rFonts w:ascii="Times New Roman" w:hAnsi="Times New Roman"/>
          <w:highlight w:val="none"/>
        </w:rPr>
      </w:pPr>
      <w:r>
        <w:rPr>
          <w:rFonts w:ascii="Times New Roman" w:hAnsi="Times New Roman"/>
          <w:color w:val="000000"/>
          <w:highlight w:val="none"/>
        </w:rPr>
        <w:t>单位地址：</w:t>
      </w:r>
      <w:r>
        <w:rPr>
          <w:rFonts w:ascii="Times New Roman" w:hAnsi="Times New Roman"/>
          <w:color w:val="000000"/>
          <w:highlight w:val="none"/>
          <w:u w:val="single"/>
        </w:rPr>
        <w:t>                   </w:t>
      </w:r>
    </w:p>
    <w:p w14:paraId="700319FB">
      <w:pPr>
        <w:pStyle w:val="30"/>
        <w:tabs>
          <w:tab w:val="left" w:pos="360"/>
        </w:tabs>
        <w:spacing w:beforeAutospacing="0" w:afterAutospacing="0" w:line="500" w:lineRule="exact"/>
        <w:ind w:firstLine="480"/>
        <w:jc w:val="both"/>
        <w:rPr>
          <w:rFonts w:ascii="Times New Roman" w:hAnsi="Times New Roman"/>
          <w:highlight w:val="none"/>
        </w:rPr>
      </w:pPr>
      <w:r>
        <w:rPr>
          <w:rFonts w:ascii="Times New Roman" w:hAnsi="Times New Roman"/>
          <w:color w:val="000000"/>
          <w:highlight w:val="none"/>
        </w:rPr>
        <w:t>日期：</w:t>
      </w:r>
      <w:r>
        <w:rPr>
          <w:rFonts w:ascii="Times New Roman" w:hAnsi="Times New Roman"/>
          <w:color w:val="000000"/>
          <w:highlight w:val="none"/>
          <w:u w:val="single"/>
        </w:rPr>
        <w:t xml:space="preserve">                     </w:t>
      </w:r>
      <w:r>
        <w:rPr>
          <w:rFonts w:hint="eastAsia" w:ascii="Times New Roman" w:hAnsi="Times New Roman"/>
          <w:color w:val="000000"/>
          <w:highlight w:val="none"/>
          <w:u w:val="single"/>
        </w:rPr>
        <w:t xml:space="preserve"> </w:t>
      </w:r>
    </w:p>
    <w:p w14:paraId="7916DB2F">
      <w:pPr>
        <w:pStyle w:val="30"/>
        <w:spacing w:beforeAutospacing="0" w:afterAutospacing="0" w:line="500" w:lineRule="exact"/>
        <w:ind w:firstLine="600"/>
        <w:jc w:val="both"/>
        <w:rPr>
          <w:rFonts w:ascii="Times New Roman" w:hAnsi="Times New Roman"/>
          <w:highlight w:val="none"/>
        </w:rPr>
      </w:pPr>
      <w:r>
        <w:rPr>
          <w:rFonts w:ascii="Times New Roman" w:hAnsi="Times New Roman"/>
          <w:highlight w:val="none"/>
        </w:rPr>
        <w:t> </w:t>
      </w:r>
    </w:p>
    <w:p w14:paraId="2249AA39">
      <w:pPr>
        <w:pStyle w:val="30"/>
        <w:spacing w:beforeAutospacing="0" w:afterAutospacing="0" w:line="500" w:lineRule="exact"/>
        <w:ind w:firstLine="600"/>
        <w:jc w:val="both"/>
        <w:rPr>
          <w:rFonts w:ascii="Times New Roman" w:hAnsi="Times New Roman"/>
          <w:highlight w:val="none"/>
        </w:rPr>
      </w:pPr>
      <w:r>
        <w:rPr>
          <w:rFonts w:ascii="Times New Roman" w:hAnsi="Times New Roman"/>
          <w:highlight w:val="none"/>
        </w:rPr>
        <w:t> </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0"/>
      </w:tblGrid>
      <w:tr w14:paraId="599751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jc w:val="center"/>
        </w:trPr>
        <w:tc>
          <w:tcPr>
            <w:tcW w:w="8280" w:type="dxa"/>
            <w:tcBorders>
              <w:top w:val="single" w:color="auto" w:sz="4" w:space="0"/>
              <w:left w:val="single" w:color="auto" w:sz="4" w:space="0"/>
              <w:bottom w:val="single" w:color="auto" w:sz="4" w:space="0"/>
              <w:right w:val="single" w:color="auto" w:sz="4" w:space="0"/>
            </w:tcBorders>
            <w:vAlign w:val="center"/>
          </w:tcPr>
          <w:p w14:paraId="778E430B">
            <w:pPr>
              <w:spacing w:line="480" w:lineRule="auto"/>
              <w:jc w:val="center"/>
              <w:rPr>
                <w:rFonts w:ascii="宋体" w:hAnsi="宋体" w:eastAsia="宋体" w:cs="宋体"/>
                <w:bCs/>
                <w:sz w:val="24"/>
                <w:szCs w:val="24"/>
                <w:highlight w:val="none"/>
                <w:lang w:eastAsia="zh-CN"/>
              </w:rPr>
            </w:pPr>
            <w:r>
              <w:rPr>
                <w:rFonts w:hint="eastAsia" w:ascii="宋体" w:hAnsi="宋体" w:eastAsia="宋体" w:cs="宋体"/>
                <w:bCs/>
                <w:sz w:val="24"/>
                <w:szCs w:val="24"/>
                <w:highlight w:val="none"/>
                <w:lang w:eastAsia="zh-CN"/>
              </w:rPr>
              <w:t>被授权人有效身份证（正反面）</w:t>
            </w:r>
          </w:p>
        </w:tc>
      </w:tr>
      <w:tr w14:paraId="5E74EF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21" w:hRule="atLeast"/>
          <w:jc w:val="center"/>
        </w:trPr>
        <w:tc>
          <w:tcPr>
            <w:tcW w:w="8280" w:type="dxa"/>
            <w:tcBorders>
              <w:top w:val="single" w:color="auto" w:sz="4" w:space="0"/>
              <w:left w:val="single" w:color="auto" w:sz="4" w:space="0"/>
              <w:bottom w:val="single" w:color="auto" w:sz="4" w:space="0"/>
              <w:right w:val="single" w:color="auto" w:sz="4" w:space="0"/>
            </w:tcBorders>
            <w:vAlign w:val="center"/>
          </w:tcPr>
          <w:p w14:paraId="14E5D275">
            <w:pPr>
              <w:spacing w:line="480" w:lineRule="auto"/>
              <w:jc w:val="center"/>
              <w:rPr>
                <w:rFonts w:ascii="宋体" w:hAnsi="宋体" w:eastAsia="宋体" w:cs="宋体"/>
                <w:bCs/>
                <w:sz w:val="24"/>
                <w:szCs w:val="24"/>
                <w:highlight w:val="none"/>
                <w:lang w:eastAsia="zh-CN"/>
              </w:rPr>
            </w:pPr>
            <w:r>
              <w:rPr>
                <w:rFonts w:hint="eastAsia" w:ascii="宋体" w:hAnsi="宋体" w:eastAsia="宋体" w:cs="宋体"/>
                <w:bCs/>
                <w:sz w:val="24"/>
                <w:szCs w:val="24"/>
                <w:highlight w:val="none"/>
                <w:lang w:eastAsia="zh-CN"/>
              </w:rPr>
              <w:t>（身份证复印件粘贴处）</w:t>
            </w:r>
          </w:p>
          <w:p w14:paraId="4686078B">
            <w:pPr>
              <w:spacing w:line="480" w:lineRule="auto"/>
              <w:jc w:val="center"/>
              <w:rPr>
                <w:rFonts w:ascii="宋体" w:hAnsi="宋体" w:eastAsia="宋体" w:cs="宋体"/>
                <w:bCs/>
                <w:sz w:val="24"/>
                <w:szCs w:val="24"/>
                <w:highlight w:val="none"/>
                <w:lang w:eastAsia="zh-CN"/>
              </w:rPr>
            </w:pPr>
          </w:p>
          <w:p w14:paraId="50CC9C9C">
            <w:pPr>
              <w:spacing w:line="480" w:lineRule="auto"/>
              <w:jc w:val="center"/>
              <w:rPr>
                <w:rFonts w:ascii="宋体" w:hAnsi="宋体" w:eastAsia="宋体" w:cs="宋体"/>
                <w:bCs/>
                <w:sz w:val="24"/>
                <w:szCs w:val="24"/>
                <w:highlight w:val="none"/>
                <w:lang w:eastAsia="zh-CN"/>
              </w:rPr>
            </w:pPr>
            <w:r>
              <w:rPr>
                <w:rFonts w:hint="eastAsia" w:ascii="宋体" w:hAnsi="宋体" w:eastAsia="宋体" w:cs="宋体"/>
                <w:bCs/>
                <w:sz w:val="24"/>
                <w:szCs w:val="24"/>
                <w:highlight w:val="none"/>
                <w:lang w:eastAsia="zh-CN"/>
              </w:rPr>
              <w:t>（可电子粘贴）</w:t>
            </w:r>
          </w:p>
          <w:p w14:paraId="19CFFC02">
            <w:pPr>
              <w:spacing w:line="480" w:lineRule="auto"/>
              <w:jc w:val="center"/>
              <w:rPr>
                <w:rFonts w:ascii="宋体" w:hAnsi="宋体" w:eastAsia="宋体" w:cs="宋体"/>
                <w:bCs/>
                <w:sz w:val="24"/>
                <w:szCs w:val="24"/>
                <w:highlight w:val="none"/>
                <w:lang w:eastAsia="zh-CN"/>
              </w:rPr>
            </w:pPr>
          </w:p>
          <w:p w14:paraId="71072467">
            <w:pPr>
              <w:spacing w:line="480" w:lineRule="auto"/>
              <w:jc w:val="center"/>
              <w:rPr>
                <w:rFonts w:ascii="宋体" w:hAnsi="宋体" w:eastAsia="宋体" w:cs="宋体"/>
                <w:bCs/>
                <w:sz w:val="24"/>
                <w:szCs w:val="24"/>
                <w:highlight w:val="none"/>
                <w:lang w:eastAsia="zh-CN"/>
              </w:rPr>
            </w:pPr>
            <w:r>
              <w:rPr>
                <w:rFonts w:hint="eastAsia" w:ascii="宋体" w:hAnsi="宋体" w:eastAsia="宋体" w:cs="宋体"/>
                <w:bCs/>
                <w:sz w:val="24"/>
                <w:szCs w:val="24"/>
                <w:highlight w:val="none"/>
                <w:lang w:eastAsia="zh-CN"/>
              </w:rPr>
              <w:t>（证明材料可另页，不限于本框内）</w:t>
            </w:r>
          </w:p>
        </w:tc>
      </w:tr>
    </w:tbl>
    <w:p w14:paraId="47DC9210">
      <w:pPr>
        <w:pStyle w:val="30"/>
        <w:spacing w:beforeAutospacing="0" w:afterAutospacing="0" w:line="500" w:lineRule="exact"/>
        <w:ind w:firstLine="600"/>
        <w:jc w:val="both"/>
        <w:rPr>
          <w:rFonts w:ascii="Times New Roman" w:hAnsi="Times New Roman"/>
          <w:highlight w:val="none"/>
        </w:rPr>
      </w:pPr>
    </w:p>
    <w:p w14:paraId="69D2E032">
      <w:pPr>
        <w:pStyle w:val="30"/>
        <w:spacing w:beforeAutospacing="0" w:afterAutospacing="0" w:line="500" w:lineRule="exact"/>
        <w:ind w:firstLine="600"/>
        <w:jc w:val="both"/>
        <w:rPr>
          <w:rFonts w:ascii="Times New Roman" w:hAnsi="Times New Roman"/>
          <w:highlight w:val="none"/>
        </w:rPr>
      </w:pPr>
      <w:r>
        <w:rPr>
          <w:rFonts w:ascii="Times New Roman" w:hAnsi="Times New Roman"/>
          <w:highlight w:val="none"/>
        </w:rPr>
        <w:t> </w:t>
      </w:r>
    </w:p>
    <w:p w14:paraId="005F93D0">
      <w:pPr>
        <w:snapToGrid w:val="0"/>
        <w:spacing w:before="50" w:after="50"/>
        <w:jc w:val="center"/>
        <w:rPr>
          <w:rFonts w:hint="eastAsia" w:ascii="Times New Roman" w:hAnsi="Times New Roman" w:eastAsia="黑体" w:cs="黑体"/>
          <w:i/>
          <w:color w:val="000000"/>
          <w:kern w:val="2"/>
          <w:sz w:val="32"/>
          <w:szCs w:val="32"/>
          <w:highlight w:val="none"/>
          <w:u w:val="single"/>
          <w:lang w:val="en-US" w:eastAsia="zh-CN" w:bidi="ar-SA"/>
        </w:rPr>
      </w:pPr>
      <w:r>
        <w:rPr>
          <w:rFonts w:hint="eastAsia" w:ascii="Times New Roman" w:hAnsi="Times New Roman" w:eastAsia="黑体" w:cs="黑体"/>
          <w:i/>
          <w:color w:val="000000"/>
          <w:sz w:val="32"/>
          <w:szCs w:val="32"/>
          <w:highlight w:val="none"/>
          <w:u w:val="single"/>
        </w:rPr>
        <w:br w:type="page" w:clear="all"/>
      </w:r>
      <w:r>
        <w:rPr>
          <w:rFonts w:hint="eastAsia" w:ascii="Times New Roman" w:hAnsi="Times New Roman" w:eastAsia="黑体" w:cs="黑体"/>
          <w:i/>
          <w:color w:val="000000"/>
          <w:kern w:val="2"/>
          <w:sz w:val="32"/>
          <w:szCs w:val="32"/>
          <w:highlight w:val="none"/>
          <w:u w:val="single"/>
          <w:lang w:val="en-US" w:eastAsia="zh-CN" w:bidi="ar-SA"/>
        </w:rPr>
        <w:t>文件7 询价公告中关于本项目特定资格要求所需资料。</w:t>
      </w:r>
    </w:p>
    <w:p w14:paraId="5A4326BB">
      <w:pPr>
        <w:pStyle w:val="21"/>
        <w:rPr>
          <w:rFonts w:hint="eastAsia" w:ascii="Times New Roman" w:hAnsi="Times New Roman" w:eastAsia="黑体" w:cs="黑体"/>
          <w:i/>
          <w:color w:val="000000"/>
          <w:kern w:val="2"/>
          <w:sz w:val="32"/>
          <w:szCs w:val="32"/>
          <w:highlight w:val="none"/>
          <w:u w:val="single"/>
          <w:lang w:val="en-US" w:eastAsia="zh-CN" w:bidi="ar-SA"/>
        </w:rPr>
      </w:pPr>
    </w:p>
    <w:p w14:paraId="48D761D4">
      <w:pPr>
        <w:pStyle w:val="21"/>
        <w:rPr>
          <w:rFonts w:hint="eastAsia" w:ascii="Times New Roman" w:hAnsi="Times New Roman" w:eastAsia="黑体" w:cs="黑体"/>
          <w:i/>
          <w:color w:val="000000"/>
          <w:kern w:val="2"/>
          <w:sz w:val="32"/>
          <w:szCs w:val="32"/>
          <w:highlight w:val="none"/>
          <w:u w:val="single"/>
          <w:lang w:val="en-US" w:eastAsia="zh-CN" w:bidi="ar-SA"/>
        </w:rPr>
      </w:pPr>
    </w:p>
    <w:p w14:paraId="4164CA01">
      <w:pPr>
        <w:pStyle w:val="21"/>
        <w:rPr>
          <w:rFonts w:hint="eastAsia" w:ascii="Times New Roman" w:hAnsi="Times New Roman" w:eastAsia="黑体" w:cs="黑体"/>
          <w:i/>
          <w:color w:val="000000"/>
          <w:kern w:val="2"/>
          <w:sz w:val="32"/>
          <w:szCs w:val="32"/>
          <w:highlight w:val="none"/>
          <w:u w:val="single"/>
          <w:lang w:val="en-US" w:eastAsia="zh-CN" w:bidi="ar-SA"/>
        </w:rPr>
      </w:pPr>
    </w:p>
    <w:p w14:paraId="63F83B4A">
      <w:pPr>
        <w:pStyle w:val="21"/>
        <w:rPr>
          <w:rFonts w:hint="eastAsia" w:ascii="Times New Roman" w:hAnsi="Times New Roman" w:eastAsia="黑体" w:cs="黑体"/>
          <w:i/>
          <w:color w:val="000000"/>
          <w:kern w:val="2"/>
          <w:sz w:val="32"/>
          <w:szCs w:val="32"/>
          <w:highlight w:val="none"/>
          <w:u w:val="single"/>
          <w:lang w:val="en-US" w:eastAsia="zh-CN" w:bidi="ar-SA"/>
        </w:rPr>
      </w:pPr>
    </w:p>
    <w:p w14:paraId="4BDCF0CD">
      <w:pPr>
        <w:pStyle w:val="21"/>
        <w:rPr>
          <w:rFonts w:hint="eastAsia" w:ascii="Times New Roman" w:hAnsi="Times New Roman" w:eastAsia="黑体" w:cs="黑体"/>
          <w:i/>
          <w:color w:val="000000"/>
          <w:kern w:val="2"/>
          <w:sz w:val="32"/>
          <w:szCs w:val="32"/>
          <w:highlight w:val="none"/>
          <w:u w:val="single"/>
          <w:lang w:val="en-US" w:eastAsia="zh-CN" w:bidi="ar-SA"/>
        </w:rPr>
      </w:pPr>
    </w:p>
    <w:p w14:paraId="2621E8BB">
      <w:pPr>
        <w:pStyle w:val="21"/>
        <w:rPr>
          <w:rFonts w:hint="eastAsia" w:ascii="Times New Roman" w:hAnsi="Times New Roman" w:eastAsia="黑体" w:cs="黑体"/>
          <w:i/>
          <w:color w:val="000000"/>
          <w:kern w:val="2"/>
          <w:sz w:val="32"/>
          <w:szCs w:val="32"/>
          <w:highlight w:val="none"/>
          <w:u w:val="single"/>
          <w:lang w:val="en-US" w:eastAsia="zh-CN" w:bidi="ar-SA"/>
        </w:rPr>
      </w:pPr>
    </w:p>
    <w:p w14:paraId="4DF2FC9E">
      <w:pPr>
        <w:pStyle w:val="21"/>
        <w:rPr>
          <w:rFonts w:hint="eastAsia" w:ascii="Times New Roman" w:hAnsi="Times New Roman" w:eastAsia="黑体" w:cs="黑体"/>
          <w:i/>
          <w:color w:val="000000"/>
          <w:kern w:val="2"/>
          <w:sz w:val="32"/>
          <w:szCs w:val="32"/>
          <w:highlight w:val="none"/>
          <w:u w:val="single"/>
          <w:lang w:val="en-US" w:eastAsia="zh-CN" w:bidi="ar-SA"/>
        </w:rPr>
      </w:pPr>
    </w:p>
    <w:p w14:paraId="0307B2CB">
      <w:pPr>
        <w:pStyle w:val="21"/>
        <w:rPr>
          <w:rFonts w:hint="eastAsia" w:ascii="Times New Roman" w:hAnsi="Times New Roman" w:eastAsia="黑体" w:cs="黑体"/>
          <w:i/>
          <w:color w:val="000000"/>
          <w:kern w:val="2"/>
          <w:sz w:val="32"/>
          <w:szCs w:val="32"/>
          <w:highlight w:val="none"/>
          <w:u w:val="single"/>
          <w:lang w:val="en-US" w:eastAsia="zh-CN" w:bidi="ar-SA"/>
        </w:rPr>
      </w:pPr>
    </w:p>
    <w:p w14:paraId="7E70DFFC">
      <w:pPr>
        <w:pStyle w:val="21"/>
        <w:rPr>
          <w:rFonts w:hint="eastAsia" w:ascii="Times New Roman" w:hAnsi="Times New Roman" w:eastAsia="黑体" w:cs="黑体"/>
          <w:i/>
          <w:color w:val="000000"/>
          <w:kern w:val="2"/>
          <w:sz w:val="32"/>
          <w:szCs w:val="32"/>
          <w:highlight w:val="none"/>
          <w:u w:val="single"/>
          <w:lang w:val="en-US" w:eastAsia="zh-CN" w:bidi="ar-SA"/>
        </w:rPr>
      </w:pPr>
    </w:p>
    <w:p w14:paraId="432299DE">
      <w:pPr>
        <w:pStyle w:val="21"/>
        <w:rPr>
          <w:rFonts w:hint="eastAsia" w:ascii="Times New Roman" w:hAnsi="Times New Roman" w:eastAsia="黑体" w:cs="黑体"/>
          <w:i/>
          <w:color w:val="000000"/>
          <w:kern w:val="2"/>
          <w:sz w:val="32"/>
          <w:szCs w:val="32"/>
          <w:highlight w:val="none"/>
          <w:u w:val="single"/>
          <w:lang w:val="en-US" w:eastAsia="zh-CN" w:bidi="ar-SA"/>
        </w:rPr>
      </w:pPr>
    </w:p>
    <w:p w14:paraId="151FFB16">
      <w:pPr>
        <w:pStyle w:val="21"/>
        <w:rPr>
          <w:rFonts w:hint="eastAsia" w:ascii="Times New Roman" w:hAnsi="Times New Roman" w:eastAsia="黑体" w:cs="黑体"/>
          <w:i/>
          <w:color w:val="000000"/>
          <w:kern w:val="2"/>
          <w:sz w:val="32"/>
          <w:szCs w:val="32"/>
          <w:highlight w:val="none"/>
          <w:u w:val="single"/>
          <w:lang w:val="en-US" w:eastAsia="zh-CN" w:bidi="ar-SA"/>
        </w:rPr>
      </w:pPr>
    </w:p>
    <w:p w14:paraId="23936658">
      <w:pPr>
        <w:pStyle w:val="21"/>
        <w:rPr>
          <w:rFonts w:hint="eastAsia" w:ascii="Times New Roman" w:hAnsi="Times New Roman" w:eastAsia="黑体" w:cs="黑体"/>
          <w:i/>
          <w:color w:val="000000"/>
          <w:kern w:val="2"/>
          <w:sz w:val="32"/>
          <w:szCs w:val="32"/>
          <w:highlight w:val="none"/>
          <w:u w:val="single"/>
          <w:lang w:val="en-US" w:eastAsia="zh-CN" w:bidi="ar-SA"/>
        </w:rPr>
      </w:pPr>
    </w:p>
    <w:p w14:paraId="2531E6E6">
      <w:pPr>
        <w:pStyle w:val="21"/>
        <w:rPr>
          <w:rFonts w:hint="eastAsia" w:ascii="Times New Roman" w:hAnsi="Times New Roman" w:eastAsia="黑体" w:cs="黑体"/>
          <w:i/>
          <w:color w:val="000000"/>
          <w:kern w:val="2"/>
          <w:sz w:val="32"/>
          <w:szCs w:val="32"/>
          <w:highlight w:val="none"/>
          <w:u w:val="single"/>
          <w:lang w:val="en-US" w:eastAsia="zh-CN" w:bidi="ar-SA"/>
        </w:rPr>
      </w:pPr>
    </w:p>
    <w:p w14:paraId="0DF0B765">
      <w:pPr>
        <w:pStyle w:val="21"/>
        <w:rPr>
          <w:rFonts w:hint="eastAsia" w:ascii="Times New Roman" w:hAnsi="Times New Roman" w:eastAsia="黑体" w:cs="黑体"/>
          <w:i/>
          <w:color w:val="000000"/>
          <w:kern w:val="2"/>
          <w:sz w:val="32"/>
          <w:szCs w:val="32"/>
          <w:highlight w:val="none"/>
          <w:u w:val="single"/>
          <w:lang w:val="en-US" w:eastAsia="zh-CN" w:bidi="ar-SA"/>
        </w:rPr>
      </w:pPr>
    </w:p>
    <w:p w14:paraId="78B776BF">
      <w:pPr>
        <w:pStyle w:val="21"/>
        <w:rPr>
          <w:rFonts w:hint="eastAsia" w:ascii="Times New Roman" w:hAnsi="Times New Roman" w:eastAsia="黑体" w:cs="黑体"/>
          <w:i/>
          <w:color w:val="000000"/>
          <w:kern w:val="2"/>
          <w:sz w:val="32"/>
          <w:szCs w:val="32"/>
          <w:highlight w:val="none"/>
          <w:u w:val="single"/>
          <w:lang w:val="en-US" w:eastAsia="zh-CN" w:bidi="ar-SA"/>
        </w:rPr>
      </w:pPr>
    </w:p>
    <w:p w14:paraId="0378E468">
      <w:pPr>
        <w:pStyle w:val="21"/>
        <w:rPr>
          <w:rFonts w:hint="eastAsia" w:ascii="Times New Roman" w:hAnsi="Times New Roman" w:eastAsia="黑体" w:cs="黑体"/>
          <w:i/>
          <w:color w:val="000000"/>
          <w:kern w:val="2"/>
          <w:sz w:val="32"/>
          <w:szCs w:val="32"/>
          <w:highlight w:val="none"/>
          <w:u w:val="single"/>
          <w:lang w:val="en-US" w:eastAsia="zh-CN" w:bidi="ar-SA"/>
        </w:rPr>
      </w:pPr>
    </w:p>
    <w:p w14:paraId="373A3F57">
      <w:pPr>
        <w:pStyle w:val="21"/>
        <w:rPr>
          <w:rFonts w:hint="eastAsia" w:ascii="Times New Roman" w:hAnsi="Times New Roman" w:eastAsia="黑体" w:cs="黑体"/>
          <w:i/>
          <w:color w:val="000000"/>
          <w:kern w:val="2"/>
          <w:sz w:val="32"/>
          <w:szCs w:val="32"/>
          <w:highlight w:val="none"/>
          <w:u w:val="single"/>
          <w:lang w:val="en-US" w:eastAsia="zh-CN" w:bidi="ar-SA"/>
        </w:rPr>
      </w:pPr>
    </w:p>
    <w:p w14:paraId="167A1B63">
      <w:pPr>
        <w:pStyle w:val="21"/>
        <w:rPr>
          <w:rFonts w:hint="eastAsia" w:ascii="Times New Roman" w:hAnsi="Times New Roman" w:eastAsia="黑体" w:cs="黑体"/>
          <w:i/>
          <w:color w:val="000000"/>
          <w:kern w:val="2"/>
          <w:sz w:val="32"/>
          <w:szCs w:val="32"/>
          <w:highlight w:val="none"/>
          <w:u w:val="single"/>
          <w:lang w:val="en-US" w:eastAsia="zh-CN" w:bidi="ar-SA"/>
        </w:rPr>
      </w:pPr>
    </w:p>
    <w:p w14:paraId="19CC68B0">
      <w:pPr>
        <w:pStyle w:val="21"/>
        <w:rPr>
          <w:rFonts w:hint="eastAsia" w:ascii="Times New Roman" w:hAnsi="Times New Roman" w:eastAsia="黑体" w:cs="黑体"/>
          <w:i/>
          <w:color w:val="000000"/>
          <w:kern w:val="2"/>
          <w:sz w:val="32"/>
          <w:szCs w:val="32"/>
          <w:highlight w:val="none"/>
          <w:u w:val="single"/>
          <w:lang w:val="en-US" w:eastAsia="zh-CN" w:bidi="ar-SA"/>
        </w:rPr>
      </w:pPr>
    </w:p>
    <w:p w14:paraId="2F93CA00">
      <w:pPr>
        <w:pStyle w:val="21"/>
        <w:rPr>
          <w:rFonts w:hint="eastAsia" w:ascii="Times New Roman" w:hAnsi="Times New Roman" w:eastAsia="黑体" w:cs="黑体"/>
          <w:i/>
          <w:color w:val="000000"/>
          <w:kern w:val="2"/>
          <w:sz w:val="32"/>
          <w:szCs w:val="32"/>
          <w:highlight w:val="none"/>
          <w:u w:val="single"/>
          <w:lang w:val="en-US" w:eastAsia="zh-CN" w:bidi="ar-SA"/>
        </w:rPr>
      </w:pPr>
    </w:p>
    <w:p w14:paraId="75250242">
      <w:pPr>
        <w:pStyle w:val="21"/>
        <w:rPr>
          <w:rFonts w:hint="eastAsia" w:ascii="Times New Roman" w:hAnsi="Times New Roman" w:eastAsia="黑体" w:cs="黑体"/>
          <w:i/>
          <w:color w:val="000000"/>
          <w:kern w:val="2"/>
          <w:sz w:val="32"/>
          <w:szCs w:val="32"/>
          <w:highlight w:val="none"/>
          <w:u w:val="single"/>
          <w:lang w:val="en-US" w:eastAsia="zh-CN" w:bidi="ar-SA"/>
        </w:rPr>
      </w:pPr>
    </w:p>
    <w:p w14:paraId="620BEB0B">
      <w:pPr>
        <w:pStyle w:val="21"/>
        <w:rPr>
          <w:rFonts w:hint="eastAsia" w:ascii="Times New Roman" w:hAnsi="Times New Roman" w:eastAsia="黑体" w:cs="黑体"/>
          <w:i/>
          <w:color w:val="000000"/>
          <w:kern w:val="2"/>
          <w:sz w:val="32"/>
          <w:szCs w:val="32"/>
          <w:highlight w:val="none"/>
          <w:u w:val="single"/>
          <w:lang w:val="en-US" w:eastAsia="zh-CN" w:bidi="ar-SA"/>
        </w:rPr>
      </w:pPr>
    </w:p>
    <w:p w14:paraId="192B7959">
      <w:pPr>
        <w:pStyle w:val="21"/>
        <w:rPr>
          <w:rFonts w:hint="eastAsia" w:ascii="Times New Roman" w:hAnsi="Times New Roman" w:eastAsia="黑体" w:cs="黑体"/>
          <w:i/>
          <w:color w:val="000000"/>
          <w:kern w:val="2"/>
          <w:sz w:val="32"/>
          <w:szCs w:val="32"/>
          <w:highlight w:val="none"/>
          <w:u w:val="single"/>
          <w:lang w:val="en-US" w:eastAsia="zh-CN" w:bidi="ar-SA"/>
        </w:rPr>
      </w:pPr>
    </w:p>
    <w:p w14:paraId="5FC33578">
      <w:pPr>
        <w:pStyle w:val="21"/>
        <w:rPr>
          <w:rFonts w:hint="eastAsia" w:ascii="Times New Roman" w:hAnsi="Times New Roman" w:eastAsia="黑体" w:cs="黑体"/>
          <w:i/>
          <w:color w:val="000000"/>
          <w:kern w:val="2"/>
          <w:sz w:val="32"/>
          <w:szCs w:val="32"/>
          <w:highlight w:val="none"/>
          <w:u w:val="single"/>
          <w:lang w:val="en-US" w:eastAsia="zh-CN" w:bidi="ar-SA"/>
        </w:rPr>
      </w:pPr>
    </w:p>
    <w:p w14:paraId="0F6DA2BF">
      <w:pPr>
        <w:pStyle w:val="21"/>
        <w:rPr>
          <w:rFonts w:hint="eastAsia" w:ascii="Times New Roman" w:hAnsi="Times New Roman" w:eastAsia="黑体" w:cs="黑体"/>
          <w:i/>
          <w:color w:val="000000"/>
          <w:kern w:val="2"/>
          <w:sz w:val="32"/>
          <w:szCs w:val="32"/>
          <w:highlight w:val="none"/>
          <w:u w:val="single"/>
          <w:lang w:val="en-US" w:eastAsia="zh-CN" w:bidi="ar-SA"/>
        </w:rPr>
      </w:pPr>
    </w:p>
    <w:p w14:paraId="2CA87071">
      <w:pPr>
        <w:pStyle w:val="21"/>
        <w:rPr>
          <w:rFonts w:hint="eastAsia" w:ascii="Times New Roman" w:hAnsi="Times New Roman" w:eastAsia="黑体" w:cs="黑体"/>
          <w:i/>
          <w:color w:val="000000"/>
          <w:kern w:val="2"/>
          <w:sz w:val="32"/>
          <w:szCs w:val="32"/>
          <w:highlight w:val="none"/>
          <w:u w:val="single"/>
          <w:lang w:val="en-US" w:eastAsia="zh-CN" w:bidi="ar-SA"/>
        </w:rPr>
      </w:pPr>
    </w:p>
    <w:p w14:paraId="4E90CDF4">
      <w:pPr>
        <w:pStyle w:val="21"/>
        <w:rPr>
          <w:rFonts w:hint="eastAsia" w:ascii="Times New Roman" w:hAnsi="Times New Roman" w:eastAsia="黑体" w:cs="黑体"/>
          <w:i/>
          <w:color w:val="000000"/>
          <w:kern w:val="2"/>
          <w:sz w:val="32"/>
          <w:szCs w:val="32"/>
          <w:highlight w:val="none"/>
          <w:u w:val="single"/>
          <w:lang w:val="en-US" w:eastAsia="zh-CN" w:bidi="ar-SA"/>
        </w:rPr>
      </w:pPr>
    </w:p>
    <w:p w14:paraId="486A9E6D">
      <w:pPr>
        <w:pStyle w:val="21"/>
        <w:rPr>
          <w:rFonts w:hint="eastAsia" w:ascii="Times New Roman" w:hAnsi="Times New Roman" w:eastAsia="黑体" w:cs="黑体"/>
          <w:i/>
          <w:color w:val="000000"/>
          <w:kern w:val="2"/>
          <w:sz w:val="32"/>
          <w:szCs w:val="32"/>
          <w:highlight w:val="none"/>
          <w:u w:val="single"/>
          <w:lang w:val="en-US" w:eastAsia="zh-CN" w:bidi="ar-SA"/>
        </w:rPr>
      </w:pPr>
    </w:p>
    <w:p w14:paraId="61CEE61A">
      <w:pPr>
        <w:pStyle w:val="21"/>
        <w:rPr>
          <w:rFonts w:hint="eastAsia" w:ascii="Times New Roman" w:hAnsi="Times New Roman" w:eastAsia="黑体" w:cs="黑体"/>
          <w:i/>
          <w:color w:val="000000"/>
          <w:kern w:val="2"/>
          <w:sz w:val="32"/>
          <w:szCs w:val="32"/>
          <w:highlight w:val="none"/>
          <w:u w:val="single"/>
          <w:lang w:val="en-US" w:eastAsia="zh-CN" w:bidi="ar-SA"/>
        </w:rPr>
      </w:pPr>
    </w:p>
    <w:p w14:paraId="5F642185">
      <w:pPr>
        <w:pStyle w:val="21"/>
        <w:rPr>
          <w:rFonts w:hint="eastAsia" w:ascii="Times New Roman" w:hAnsi="Times New Roman" w:eastAsia="黑体" w:cs="黑体"/>
          <w:i/>
          <w:color w:val="000000"/>
          <w:kern w:val="2"/>
          <w:sz w:val="32"/>
          <w:szCs w:val="32"/>
          <w:highlight w:val="none"/>
          <w:u w:val="single"/>
          <w:lang w:val="en-US" w:eastAsia="zh-CN" w:bidi="ar-SA"/>
        </w:rPr>
      </w:pPr>
    </w:p>
    <w:p w14:paraId="53320BAA">
      <w:pPr>
        <w:pStyle w:val="21"/>
        <w:rPr>
          <w:rFonts w:hint="eastAsia" w:ascii="Times New Roman" w:hAnsi="Times New Roman" w:eastAsia="黑体" w:cs="黑体"/>
          <w:i/>
          <w:color w:val="000000"/>
          <w:kern w:val="2"/>
          <w:sz w:val="32"/>
          <w:szCs w:val="32"/>
          <w:highlight w:val="none"/>
          <w:u w:val="single"/>
          <w:lang w:val="en-US" w:eastAsia="zh-CN" w:bidi="ar-SA"/>
        </w:rPr>
      </w:pPr>
    </w:p>
    <w:p w14:paraId="226BE4FD">
      <w:pPr>
        <w:pStyle w:val="21"/>
        <w:rPr>
          <w:rFonts w:hint="eastAsia" w:ascii="Times New Roman" w:hAnsi="Times New Roman" w:eastAsia="黑体" w:cs="黑体"/>
          <w:i/>
          <w:color w:val="000000"/>
          <w:kern w:val="2"/>
          <w:sz w:val="32"/>
          <w:szCs w:val="32"/>
          <w:highlight w:val="none"/>
          <w:u w:val="single"/>
          <w:lang w:val="en-US" w:eastAsia="zh-CN" w:bidi="ar-SA"/>
        </w:rPr>
      </w:pPr>
    </w:p>
    <w:p w14:paraId="6494755E">
      <w:pPr>
        <w:pStyle w:val="21"/>
        <w:jc w:val="center"/>
        <w:rPr>
          <w:rFonts w:hint="default" w:ascii="Times New Roman" w:hAnsi="Times New Roman" w:eastAsia="黑体" w:cs="黑体"/>
          <w:i/>
          <w:color w:val="000000"/>
          <w:kern w:val="2"/>
          <w:sz w:val="32"/>
          <w:szCs w:val="32"/>
          <w:highlight w:val="none"/>
          <w:u w:val="single"/>
          <w:lang w:val="en-US" w:eastAsia="zh-CN" w:bidi="ar-SA"/>
        </w:rPr>
      </w:pPr>
      <w:r>
        <w:rPr>
          <w:rFonts w:hint="eastAsia" w:ascii="Times New Roman" w:hAnsi="Times New Roman" w:eastAsia="黑体" w:cs="黑体"/>
          <w:i/>
          <w:color w:val="000000"/>
          <w:kern w:val="2"/>
          <w:sz w:val="32"/>
          <w:szCs w:val="32"/>
          <w:highlight w:val="none"/>
          <w:u w:val="single"/>
          <w:lang w:val="en-US" w:eastAsia="zh-CN" w:bidi="ar-SA"/>
        </w:rPr>
        <w:t>文件8 承诺函</w:t>
      </w:r>
    </w:p>
    <w:p w14:paraId="38828044">
      <w:pPr>
        <w:snapToGrid w:val="0"/>
        <w:spacing w:before="50" w:after="50"/>
        <w:jc w:val="center"/>
        <w:rPr>
          <w:rFonts w:hint="eastAsia" w:ascii="仿宋" w:hAnsi="仿宋" w:eastAsia="仿宋" w:cs="仿宋"/>
          <w:b/>
          <w:sz w:val="24"/>
          <w:highlight w:val="none"/>
          <w:u w:val="single"/>
          <w:lang w:val="en-US" w:eastAsia="zh-CN"/>
        </w:rPr>
      </w:pPr>
    </w:p>
    <w:p w14:paraId="0FD32929">
      <w:pPr>
        <w:snapToGrid w:val="0"/>
        <w:spacing w:before="50" w:after="50"/>
        <w:jc w:val="center"/>
        <w:rPr>
          <w:rFonts w:hint="eastAsia" w:ascii="仿宋" w:hAnsi="仿宋" w:eastAsia="仿宋" w:cs="仿宋"/>
          <w:b/>
          <w:sz w:val="24"/>
          <w:highlight w:val="none"/>
          <w:u w:val="single"/>
          <w:lang w:val="en-US" w:eastAsia="zh-CN"/>
        </w:rPr>
      </w:pPr>
    </w:p>
    <w:p w14:paraId="21460054">
      <w:pPr>
        <w:widowControl/>
        <w:spacing w:line="500" w:lineRule="exact"/>
        <w:jc w:val="left"/>
        <w:rPr>
          <w:rFonts w:hint="eastAsia" w:ascii="宋体" w:hAnsi="宋体" w:eastAsia="宋体" w:cs="Times New Roman"/>
          <w:b/>
          <w:bCs/>
          <w:color w:val="000000"/>
          <w:sz w:val="28"/>
          <w:szCs w:val="28"/>
          <w:highlight w:val="none"/>
          <w:u w:val="single"/>
          <w:lang w:val="en-US" w:eastAsia="zh-CN"/>
        </w:rPr>
      </w:pPr>
      <w:r>
        <w:rPr>
          <w:rFonts w:hint="eastAsia" w:ascii="宋体" w:hAnsi="宋体" w:eastAsia="宋体" w:cs="Times New Roman"/>
          <w:b/>
          <w:bCs/>
          <w:color w:val="000000"/>
          <w:sz w:val="28"/>
          <w:szCs w:val="28"/>
          <w:highlight w:val="none"/>
          <w:u w:val="single"/>
          <w:lang w:val="en-US" w:eastAsia="zh-CN"/>
        </w:rPr>
        <w:t>盐城幼儿师范高等专科学校：</w:t>
      </w:r>
    </w:p>
    <w:p w14:paraId="3AC7B5A3">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Times New Roman"/>
          <w:color w:val="000000"/>
          <w:sz w:val="28"/>
          <w:szCs w:val="28"/>
          <w:highlight w:val="none"/>
          <w:lang w:val="en-US" w:eastAsia="zh-CN"/>
        </w:rPr>
      </w:pPr>
      <w:r>
        <w:rPr>
          <w:rFonts w:hint="eastAsia" w:ascii="宋体" w:hAnsi="宋体" w:eastAsia="宋体" w:cs="Times New Roman"/>
          <w:color w:val="000000"/>
          <w:sz w:val="28"/>
          <w:szCs w:val="28"/>
          <w:highlight w:val="none"/>
          <w:lang w:val="en-US" w:eastAsia="zh-CN"/>
        </w:rPr>
        <w:t>我单位如有幸成为“盐城幼儿师范高等专科学校艺术中心音乐教室、公共教室、钢琴教室窗帘采购安装项目”的中标单位，自愿承诺如下条款：</w:t>
      </w:r>
    </w:p>
    <w:p w14:paraId="455DC2AC">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eastAsia" w:ascii="宋体" w:hAnsi="宋体" w:eastAsia="宋体" w:cs="Times New Roman"/>
          <w:color w:val="000000"/>
          <w:sz w:val="28"/>
          <w:szCs w:val="28"/>
          <w:highlight w:val="none"/>
          <w:lang w:val="en-US" w:eastAsia="zh-CN"/>
        </w:rPr>
      </w:pPr>
      <w:r>
        <w:rPr>
          <w:rFonts w:hint="eastAsia" w:ascii="宋体" w:hAnsi="宋体" w:eastAsia="宋体" w:cs="Times New Roman"/>
          <w:color w:val="000000"/>
          <w:sz w:val="28"/>
          <w:szCs w:val="28"/>
          <w:highlight w:val="none"/>
          <w:lang w:val="en-US" w:eastAsia="zh-CN"/>
        </w:rPr>
        <w:t>1、中标后所采购的</w:t>
      </w:r>
      <w:r>
        <w:rPr>
          <w:rFonts w:hint="eastAsia" w:ascii="宋体" w:hAnsi="宋体" w:eastAsia="宋体" w:cs="宋体"/>
          <w:b/>
          <w:bCs/>
          <w:sz w:val="28"/>
          <w:szCs w:val="28"/>
          <w:highlight w:val="none"/>
          <w:lang w:val="en-US" w:eastAsia="zh-CN"/>
        </w:rPr>
        <w:t>窗帘和卷帘的颜色及款式由采购人确认后方可进场安装（中标后由我单位提供符合要求的几种样品供选择），</w:t>
      </w:r>
      <w:r>
        <w:rPr>
          <w:rFonts w:hint="eastAsia" w:ascii="宋体" w:hAnsi="宋体" w:eastAsia="宋体" w:cs="Times New Roman"/>
          <w:color w:val="000000"/>
          <w:sz w:val="28"/>
          <w:szCs w:val="28"/>
          <w:highlight w:val="none"/>
          <w:lang w:val="en-US" w:eastAsia="zh-CN"/>
        </w:rPr>
        <w:t>我单位无条件服从并不会因此再增加任何费用，否则视为违约，并承担由此带来的全部损失和责任。</w:t>
      </w:r>
    </w:p>
    <w:p w14:paraId="27D4C946">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572" w:rightChars="0" w:firstLine="560" w:firstLineChars="200"/>
        <w:jc w:val="left"/>
        <w:textAlignment w:val="auto"/>
        <w:rPr>
          <w:rFonts w:hint="eastAsia" w:ascii="宋体" w:hAnsi="宋体" w:eastAsia="宋体" w:cs="宋体"/>
          <w:spacing w:val="5"/>
          <w:sz w:val="21"/>
          <w:szCs w:val="21"/>
          <w:highlight w:val="green"/>
        </w:rPr>
      </w:pPr>
      <w:r>
        <w:rPr>
          <w:rFonts w:hint="eastAsia" w:ascii="宋体" w:hAnsi="宋体" w:eastAsia="宋体" w:cs="Times New Roman"/>
          <w:color w:val="000000"/>
          <w:sz w:val="28"/>
          <w:szCs w:val="28"/>
          <w:highlight w:val="none"/>
          <w:lang w:val="en-US" w:eastAsia="zh-CN"/>
        </w:rPr>
        <w:t>2、我单位按采购文件第四部分项目需求第三条采购物品参数及技术要求”在签订合同前提供有效期内含各项技术指标的第三方权威检测机构出具的带有国家计量认证（CMA）标识的检测报告复印件给采购人核验，如不达标，采购人有权拒绝与我单位签订合同，并解除我单位的中标资格。</w:t>
      </w:r>
    </w:p>
    <w:p w14:paraId="4C6C0163">
      <w:pPr>
        <w:ind w:firstLine="560" w:firstLineChars="200"/>
        <w:rPr>
          <w:rFonts w:hint="default" w:ascii="宋体" w:hAnsi="宋体" w:eastAsia="宋体" w:cs="Times New Roman"/>
          <w:color w:val="000000"/>
          <w:sz w:val="28"/>
          <w:szCs w:val="28"/>
          <w:highlight w:val="none"/>
          <w:lang w:val="en-US" w:eastAsia="zh-CN"/>
        </w:rPr>
      </w:pPr>
      <w:r>
        <w:rPr>
          <w:rFonts w:hint="eastAsia" w:ascii="宋体" w:hAnsi="宋体" w:eastAsia="宋体" w:cs="Times New Roman"/>
          <w:color w:val="000000"/>
          <w:sz w:val="28"/>
          <w:szCs w:val="28"/>
          <w:highlight w:val="none"/>
          <w:lang w:val="en-US" w:eastAsia="zh-CN"/>
        </w:rPr>
        <w:t>特此承诺。</w:t>
      </w:r>
    </w:p>
    <w:p w14:paraId="3BFDF6A4">
      <w:pPr>
        <w:rPr>
          <w:rFonts w:hint="eastAsia" w:ascii="宋体" w:hAnsi="宋体" w:eastAsia="宋体" w:cs="Times New Roman"/>
          <w:color w:val="000000"/>
          <w:sz w:val="28"/>
          <w:szCs w:val="28"/>
          <w:highlight w:val="none"/>
          <w:lang w:val="en-US" w:eastAsia="zh-CN"/>
        </w:rPr>
      </w:pPr>
    </w:p>
    <w:p w14:paraId="4FD727D4">
      <w:pPr>
        <w:jc w:val="center"/>
        <w:rPr>
          <w:rFonts w:hint="eastAsia" w:ascii="宋体" w:hAnsi="宋体" w:eastAsia="宋体" w:cs="Times New Roman"/>
          <w:color w:val="000000"/>
          <w:sz w:val="28"/>
          <w:szCs w:val="28"/>
          <w:highlight w:val="none"/>
          <w:lang w:val="en-US" w:eastAsia="zh-CN"/>
        </w:rPr>
      </w:pPr>
      <w:r>
        <w:rPr>
          <w:rFonts w:hint="eastAsia" w:ascii="宋体" w:hAnsi="宋体" w:eastAsia="宋体" w:cs="Times New Roman"/>
          <w:color w:val="000000"/>
          <w:sz w:val="28"/>
          <w:szCs w:val="28"/>
          <w:highlight w:val="none"/>
          <w:lang w:val="en-US" w:eastAsia="zh-CN"/>
        </w:rPr>
        <w:t xml:space="preserve">                                         承诺单位：</w:t>
      </w:r>
    </w:p>
    <w:p w14:paraId="3F675FD0">
      <w:pPr>
        <w:jc w:val="center"/>
        <w:rPr>
          <w:rFonts w:hint="default" w:ascii="宋体" w:hAnsi="宋体" w:eastAsia="宋体" w:cs="Times New Roman"/>
          <w:color w:val="000000"/>
          <w:sz w:val="28"/>
          <w:szCs w:val="28"/>
          <w:highlight w:val="none"/>
          <w:lang w:val="en-US" w:eastAsia="zh-CN"/>
        </w:rPr>
        <w:sectPr>
          <w:pgSz w:w="11906" w:h="16838"/>
          <w:pgMar w:top="1587" w:right="1587" w:bottom="1587" w:left="1587" w:header="851" w:footer="992" w:gutter="0"/>
          <w:pgNumType w:start="1"/>
          <w:cols w:space="0" w:num="1"/>
          <w:rtlGutter w:val="0"/>
          <w:docGrid w:type="lines" w:linePitch="323" w:charSpace="0"/>
        </w:sectPr>
      </w:pPr>
      <w:r>
        <w:rPr>
          <w:rFonts w:hint="eastAsia" w:ascii="宋体" w:hAnsi="宋体" w:eastAsia="宋体" w:cs="Times New Roman"/>
          <w:color w:val="000000"/>
          <w:sz w:val="28"/>
          <w:szCs w:val="28"/>
          <w:highlight w:val="none"/>
          <w:lang w:val="en-US" w:eastAsia="zh-CN"/>
        </w:rPr>
        <w:t xml:space="preserve">                                         日期：</w:t>
      </w:r>
    </w:p>
    <w:p w14:paraId="217F01D4">
      <w:pPr>
        <w:snapToGrid w:val="0"/>
        <w:spacing w:before="50" w:after="50"/>
        <w:jc w:val="center"/>
        <w:rPr>
          <w:rFonts w:hint="eastAsia" w:ascii="仿宋" w:hAnsi="仿宋" w:eastAsia="仿宋" w:cs="仿宋"/>
          <w:b/>
          <w:sz w:val="24"/>
          <w:highlight w:val="none"/>
          <w:u w:val="single"/>
          <w:lang w:val="en-US" w:eastAsia="zh-CN"/>
        </w:rPr>
      </w:pPr>
    </w:p>
    <w:p w14:paraId="649CEA2E">
      <w:pPr>
        <w:snapToGrid w:val="0"/>
        <w:spacing w:before="50" w:after="50"/>
        <w:jc w:val="center"/>
        <w:rPr>
          <w:rFonts w:ascii="宋体" w:hAnsi="宋体" w:cs="宋体"/>
          <w:b/>
          <w:bCs/>
          <w:sz w:val="32"/>
          <w:szCs w:val="32"/>
          <w:highlight w:val="none"/>
        </w:rPr>
      </w:pPr>
      <w:r>
        <w:rPr>
          <w:rFonts w:hint="eastAsia" w:ascii="宋体" w:hAnsi="宋体" w:cs="宋体"/>
          <w:b/>
          <w:bCs/>
          <w:sz w:val="32"/>
          <w:szCs w:val="32"/>
          <w:highlight w:val="none"/>
        </w:rPr>
        <w:t>二、资格性审查响应对照表（格式）</w:t>
      </w:r>
    </w:p>
    <w:p w14:paraId="332B9646">
      <w:pPr>
        <w:ind w:firstLine="309"/>
        <w:rPr>
          <w:rFonts w:ascii="宋体" w:hAnsi="宋体" w:cs="宋体"/>
          <w:sz w:val="24"/>
          <w:highlight w:val="none"/>
        </w:rPr>
      </w:pPr>
      <w:r>
        <w:rPr>
          <w:rFonts w:hint="eastAsia" w:ascii="宋体" w:hAnsi="宋体" w:cs="宋体"/>
          <w:sz w:val="24"/>
          <w:highlight w:val="none"/>
        </w:rPr>
        <w:t>投标人全称（加盖公章）：</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5447"/>
        <w:gridCol w:w="1680"/>
        <w:gridCol w:w="1785"/>
      </w:tblGrid>
      <w:tr w14:paraId="0421D5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14:paraId="584F60A0">
            <w:pPr>
              <w:snapToGrid w:val="0"/>
              <w:spacing w:line="240" w:lineRule="atLeast"/>
              <w:jc w:val="center"/>
              <w:rPr>
                <w:rFonts w:ascii="宋体" w:hAnsi="宋体" w:cs="宋体"/>
                <w:b/>
                <w:highlight w:val="none"/>
              </w:rPr>
            </w:pPr>
            <w:r>
              <w:rPr>
                <w:rFonts w:hint="eastAsia" w:ascii="宋体" w:hAnsi="宋体" w:cs="宋体"/>
                <w:b/>
                <w:highlight w:val="none"/>
              </w:rPr>
              <w:t>序号</w:t>
            </w:r>
          </w:p>
        </w:tc>
        <w:tc>
          <w:tcPr>
            <w:tcW w:w="5447" w:type="dxa"/>
            <w:vAlign w:val="center"/>
          </w:tcPr>
          <w:p w14:paraId="1ED7A002">
            <w:pPr>
              <w:snapToGrid w:val="0"/>
              <w:spacing w:line="240" w:lineRule="atLeast"/>
              <w:jc w:val="center"/>
              <w:rPr>
                <w:rFonts w:ascii="宋体" w:hAnsi="宋体" w:cs="宋体"/>
                <w:b/>
                <w:highlight w:val="none"/>
              </w:rPr>
            </w:pPr>
            <w:r>
              <w:rPr>
                <w:rFonts w:hint="eastAsia" w:ascii="宋体" w:hAnsi="宋体" w:cs="宋体"/>
                <w:b/>
                <w:highlight w:val="none"/>
              </w:rPr>
              <w:t>资格性审查响应内容</w:t>
            </w:r>
          </w:p>
        </w:tc>
        <w:tc>
          <w:tcPr>
            <w:tcW w:w="1680" w:type="dxa"/>
            <w:vAlign w:val="center"/>
          </w:tcPr>
          <w:p w14:paraId="7E2F16BE">
            <w:pPr>
              <w:snapToGrid w:val="0"/>
              <w:spacing w:line="240" w:lineRule="atLeast"/>
              <w:jc w:val="center"/>
              <w:rPr>
                <w:rFonts w:ascii="宋体" w:hAnsi="宋体" w:cs="宋体"/>
                <w:b/>
                <w:highlight w:val="none"/>
              </w:rPr>
            </w:pPr>
            <w:r>
              <w:rPr>
                <w:rFonts w:hint="eastAsia" w:ascii="宋体" w:hAnsi="宋体" w:cs="宋体"/>
                <w:b/>
                <w:highlight w:val="none"/>
              </w:rPr>
              <w:t>是否响应</w:t>
            </w:r>
          </w:p>
          <w:p w14:paraId="59C44C08">
            <w:pPr>
              <w:snapToGrid w:val="0"/>
              <w:spacing w:line="240" w:lineRule="atLeast"/>
              <w:jc w:val="center"/>
              <w:rPr>
                <w:rFonts w:ascii="宋体" w:hAnsi="宋体" w:cs="宋体"/>
                <w:b/>
                <w:highlight w:val="none"/>
              </w:rPr>
            </w:pPr>
            <w:r>
              <w:rPr>
                <w:rFonts w:hint="eastAsia" w:ascii="宋体" w:hAnsi="宋体" w:cs="宋体"/>
                <w:b/>
                <w:highlight w:val="none"/>
              </w:rPr>
              <w:t>（填是或者否）</w:t>
            </w:r>
          </w:p>
        </w:tc>
        <w:tc>
          <w:tcPr>
            <w:tcW w:w="1785" w:type="dxa"/>
            <w:vAlign w:val="center"/>
          </w:tcPr>
          <w:p w14:paraId="41320B49">
            <w:pPr>
              <w:snapToGrid w:val="0"/>
              <w:spacing w:line="240" w:lineRule="atLeast"/>
              <w:jc w:val="center"/>
              <w:rPr>
                <w:rFonts w:ascii="宋体" w:hAnsi="宋体" w:cs="宋体"/>
                <w:b/>
                <w:highlight w:val="none"/>
              </w:rPr>
            </w:pPr>
            <w:r>
              <w:rPr>
                <w:rFonts w:hint="eastAsia" w:ascii="宋体" w:hAnsi="宋体" w:cs="宋体"/>
                <w:b/>
                <w:highlight w:val="none"/>
              </w:rPr>
              <w:t>投标文件中的</w:t>
            </w:r>
          </w:p>
          <w:p w14:paraId="0A73B936">
            <w:pPr>
              <w:snapToGrid w:val="0"/>
              <w:spacing w:line="240" w:lineRule="atLeast"/>
              <w:jc w:val="center"/>
              <w:rPr>
                <w:rFonts w:ascii="宋体" w:hAnsi="宋体" w:cs="宋体"/>
                <w:b/>
                <w:highlight w:val="none"/>
              </w:rPr>
            </w:pPr>
            <w:r>
              <w:rPr>
                <w:rFonts w:hint="eastAsia" w:ascii="宋体" w:hAnsi="宋体" w:cs="宋体"/>
                <w:b/>
                <w:highlight w:val="none"/>
              </w:rPr>
              <w:t>页码位置</w:t>
            </w:r>
          </w:p>
        </w:tc>
      </w:tr>
      <w:tr w14:paraId="7FD3A2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646" w:type="dxa"/>
            <w:vAlign w:val="center"/>
          </w:tcPr>
          <w:p w14:paraId="32959B27">
            <w:pPr>
              <w:rPr>
                <w:rFonts w:ascii="宋体" w:hAnsi="宋体" w:cs="宋体"/>
                <w:b/>
                <w:highlight w:val="none"/>
              </w:rPr>
            </w:pPr>
            <w:r>
              <w:rPr>
                <w:rFonts w:hint="eastAsia" w:ascii="宋体" w:hAnsi="宋体" w:cs="宋体"/>
                <w:b/>
                <w:highlight w:val="none"/>
              </w:rPr>
              <w:t>1</w:t>
            </w:r>
          </w:p>
        </w:tc>
        <w:tc>
          <w:tcPr>
            <w:tcW w:w="5447" w:type="dxa"/>
            <w:vAlign w:val="center"/>
          </w:tcPr>
          <w:p w14:paraId="142A3FEF">
            <w:pPr>
              <w:spacing w:line="480" w:lineRule="exact"/>
              <w:rPr>
                <w:rFonts w:ascii="宋体" w:hAnsi="宋体" w:cs="宋体"/>
                <w:iCs/>
                <w:sz w:val="24"/>
                <w:highlight w:val="none"/>
              </w:rPr>
            </w:pPr>
          </w:p>
        </w:tc>
        <w:tc>
          <w:tcPr>
            <w:tcW w:w="1680" w:type="dxa"/>
            <w:vAlign w:val="center"/>
          </w:tcPr>
          <w:p w14:paraId="1D66757E">
            <w:pPr>
              <w:rPr>
                <w:rFonts w:ascii="宋体" w:hAnsi="宋体" w:cs="宋体"/>
                <w:b/>
                <w:highlight w:val="none"/>
              </w:rPr>
            </w:pPr>
          </w:p>
        </w:tc>
        <w:tc>
          <w:tcPr>
            <w:tcW w:w="1785" w:type="dxa"/>
            <w:vAlign w:val="center"/>
          </w:tcPr>
          <w:p w14:paraId="16D3FE51">
            <w:pPr>
              <w:rPr>
                <w:rFonts w:ascii="宋体" w:hAnsi="宋体" w:cs="宋体"/>
                <w:b/>
                <w:highlight w:val="none"/>
              </w:rPr>
            </w:pPr>
          </w:p>
        </w:tc>
      </w:tr>
      <w:tr w14:paraId="38D762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646" w:type="dxa"/>
            <w:vAlign w:val="center"/>
          </w:tcPr>
          <w:p w14:paraId="1CB96E34">
            <w:pPr>
              <w:rPr>
                <w:rFonts w:ascii="宋体" w:hAnsi="宋体" w:cs="宋体"/>
                <w:highlight w:val="none"/>
              </w:rPr>
            </w:pPr>
            <w:r>
              <w:rPr>
                <w:rFonts w:hint="eastAsia" w:ascii="宋体" w:hAnsi="宋体" w:cs="宋体"/>
                <w:highlight w:val="none"/>
              </w:rPr>
              <w:t>2</w:t>
            </w:r>
          </w:p>
        </w:tc>
        <w:tc>
          <w:tcPr>
            <w:tcW w:w="5447" w:type="dxa"/>
            <w:vAlign w:val="center"/>
          </w:tcPr>
          <w:p w14:paraId="170662D5">
            <w:pPr>
              <w:spacing w:line="480" w:lineRule="exact"/>
              <w:rPr>
                <w:rFonts w:ascii="宋体" w:hAnsi="宋体" w:cs="宋体"/>
                <w:iCs/>
                <w:sz w:val="24"/>
                <w:highlight w:val="none"/>
              </w:rPr>
            </w:pPr>
          </w:p>
        </w:tc>
        <w:tc>
          <w:tcPr>
            <w:tcW w:w="1680" w:type="dxa"/>
            <w:vAlign w:val="center"/>
          </w:tcPr>
          <w:p w14:paraId="7293E3B3">
            <w:pPr>
              <w:rPr>
                <w:rFonts w:ascii="宋体" w:hAnsi="宋体" w:cs="宋体"/>
                <w:highlight w:val="none"/>
              </w:rPr>
            </w:pPr>
          </w:p>
        </w:tc>
        <w:tc>
          <w:tcPr>
            <w:tcW w:w="1785" w:type="dxa"/>
            <w:vAlign w:val="center"/>
          </w:tcPr>
          <w:p w14:paraId="725D1C10">
            <w:pPr>
              <w:rPr>
                <w:rFonts w:ascii="宋体" w:hAnsi="宋体" w:cs="宋体"/>
                <w:highlight w:val="none"/>
              </w:rPr>
            </w:pPr>
          </w:p>
        </w:tc>
      </w:tr>
      <w:tr w14:paraId="37AD54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646" w:type="dxa"/>
            <w:vAlign w:val="center"/>
          </w:tcPr>
          <w:p w14:paraId="5DA9D915">
            <w:pPr>
              <w:rPr>
                <w:rFonts w:ascii="宋体" w:hAnsi="宋体" w:cs="宋体"/>
                <w:highlight w:val="none"/>
              </w:rPr>
            </w:pPr>
            <w:r>
              <w:rPr>
                <w:rFonts w:hint="eastAsia" w:ascii="宋体" w:hAnsi="宋体" w:cs="宋体"/>
                <w:highlight w:val="none"/>
              </w:rPr>
              <w:t>3</w:t>
            </w:r>
          </w:p>
        </w:tc>
        <w:tc>
          <w:tcPr>
            <w:tcW w:w="5447" w:type="dxa"/>
            <w:vAlign w:val="center"/>
          </w:tcPr>
          <w:p w14:paraId="76BB5D7D">
            <w:pPr>
              <w:spacing w:line="480" w:lineRule="exact"/>
              <w:rPr>
                <w:rFonts w:ascii="宋体" w:hAnsi="宋体" w:cs="宋体"/>
                <w:iCs/>
                <w:sz w:val="24"/>
                <w:highlight w:val="none"/>
              </w:rPr>
            </w:pPr>
          </w:p>
        </w:tc>
        <w:tc>
          <w:tcPr>
            <w:tcW w:w="1680" w:type="dxa"/>
            <w:vAlign w:val="center"/>
          </w:tcPr>
          <w:p w14:paraId="663C4212">
            <w:pPr>
              <w:rPr>
                <w:rFonts w:ascii="宋体" w:hAnsi="宋体" w:cs="宋体"/>
                <w:highlight w:val="none"/>
              </w:rPr>
            </w:pPr>
          </w:p>
        </w:tc>
        <w:tc>
          <w:tcPr>
            <w:tcW w:w="1785" w:type="dxa"/>
            <w:vAlign w:val="center"/>
          </w:tcPr>
          <w:p w14:paraId="0F0DA752">
            <w:pPr>
              <w:rPr>
                <w:rFonts w:ascii="宋体" w:hAnsi="宋体" w:cs="宋体"/>
                <w:highlight w:val="none"/>
              </w:rPr>
            </w:pPr>
          </w:p>
        </w:tc>
      </w:tr>
      <w:tr w14:paraId="2E7E79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6" w:hRule="atLeast"/>
        </w:trPr>
        <w:tc>
          <w:tcPr>
            <w:tcW w:w="646" w:type="dxa"/>
            <w:vAlign w:val="center"/>
          </w:tcPr>
          <w:p w14:paraId="57B7A1BF">
            <w:pPr>
              <w:rPr>
                <w:rFonts w:ascii="宋体" w:hAnsi="宋体" w:cs="宋体"/>
                <w:highlight w:val="none"/>
              </w:rPr>
            </w:pPr>
            <w:r>
              <w:rPr>
                <w:rFonts w:hint="eastAsia" w:ascii="宋体" w:hAnsi="宋体" w:cs="宋体"/>
                <w:highlight w:val="none"/>
              </w:rPr>
              <w:t>4</w:t>
            </w:r>
          </w:p>
        </w:tc>
        <w:tc>
          <w:tcPr>
            <w:tcW w:w="5447" w:type="dxa"/>
            <w:vAlign w:val="center"/>
          </w:tcPr>
          <w:p w14:paraId="17BCA0D5">
            <w:pPr>
              <w:spacing w:line="360" w:lineRule="auto"/>
              <w:rPr>
                <w:rFonts w:ascii="宋体" w:hAnsi="宋体" w:cs="宋体"/>
                <w:iCs/>
                <w:sz w:val="24"/>
                <w:highlight w:val="none"/>
              </w:rPr>
            </w:pPr>
          </w:p>
        </w:tc>
        <w:tc>
          <w:tcPr>
            <w:tcW w:w="1680" w:type="dxa"/>
            <w:vAlign w:val="center"/>
          </w:tcPr>
          <w:p w14:paraId="6353269A">
            <w:pPr>
              <w:rPr>
                <w:rFonts w:ascii="宋体" w:hAnsi="宋体" w:cs="宋体"/>
                <w:highlight w:val="none"/>
              </w:rPr>
            </w:pPr>
          </w:p>
        </w:tc>
        <w:tc>
          <w:tcPr>
            <w:tcW w:w="1785" w:type="dxa"/>
            <w:vAlign w:val="center"/>
          </w:tcPr>
          <w:p w14:paraId="42301B29">
            <w:pPr>
              <w:rPr>
                <w:rFonts w:ascii="宋体" w:hAnsi="宋体" w:cs="宋体"/>
                <w:highlight w:val="none"/>
              </w:rPr>
            </w:pPr>
          </w:p>
        </w:tc>
      </w:tr>
      <w:tr w14:paraId="5D2DB1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5" w:hRule="atLeast"/>
        </w:trPr>
        <w:tc>
          <w:tcPr>
            <w:tcW w:w="646" w:type="dxa"/>
            <w:vAlign w:val="center"/>
          </w:tcPr>
          <w:p w14:paraId="4160E678">
            <w:pPr>
              <w:rPr>
                <w:rFonts w:ascii="宋体" w:hAnsi="宋体" w:cs="宋体"/>
                <w:highlight w:val="none"/>
              </w:rPr>
            </w:pPr>
            <w:r>
              <w:rPr>
                <w:rFonts w:hint="eastAsia" w:ascii="宋体" w:hAnsi="宋体" w:cs="宋体"/>
                <w:highlight w:val="none"/>
              </w:rPr>
              <w:t>5</w:t>
            </w:r>
          </w:p>
        </w:tc>
        <w:tc>
          <w:tcPr>
            <w:tcW w:w="5447" w:type="dxa"/>
            <w:vAlign w:val="center"/>
          </w:tcPr>
          <w:p w14:paraId="79013460">
            <w:pPr>
              <w:snapToGrid w:val="0"/>
              <w:spacing w:line="590" w:lineRule="atLeast"/>
              <w:rPr>
                <w:rFonts w:ascii="宋体" w:hAnsi="宋体" w:cs="宋体"/>
                <w:iCs/>
                <w:sz w:val="24"/>
                <w:highlight w:val="none"/>
              </w:rPr>
            </w:pPr>
          </w:p>
        </w:tc>
        <w:tc>
          <w:tcPr>
            <w:tcW w:w="1680" w:type="dxa"/>
            <w:vAlign w:val="center"/>
          </w:tcPr>
          <w:p w14:paraId="4A06E8C9">
            <w:pPr>
              <w:rPr>
                <w:rFonts w:ascii="宋体" w:hAnsi="宋体" w:cs="宋体"/>
                <w:highlight w:val="none"/>
              </w:rPr>
            </w:pPr>
          </w:p>
        </w:tc>
        <w:tc>
          <w:tcPr>
            <w:tcW w:w="1785" w:type="dxa"/>
            <w:vAlign w:val="center"/>
          </w:tcPr>
          <w:p w14:paraId="628B6B8E">
            <w:pPr>
              <w:rPr>
                <w:rFonts w:ascii="宋体" w:hAnsi="宋体" w:cs="宋体"/>
                <w:highlight w:val="none"/>
              </w:rPr>
            </w:pPr>
          </w:p>
        </w:tc>
      </w:tr>
      <w:tr w14:paraId="1C7B4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46" w:type="dxa"/>
            <w:vAlign w:val="center"/>
          </w:tcPr>
          <w:p w14:paraId="43BF8C83">
            <w:pPr>
              <w:rPr>
                <w:rFonts w:ascii="宋体" w:hAnsi="宋体" w:cs="宋体"/>
                <w:highlight w:val="none"/>
              </w:rPr>
            </w:pPr>
            <w:r>
              <w:rPr>
                <w:rFonts w:hint="eastAsia" w:ascii="宋体" w:hAnsi="宋体" w:cs="宋体"/>
                <w:highlight w:val="none"/>
              </w:rPr>
              <w:t>6</w:t>
            </w:r>
          </w:p>
        </w:tc>
        <w:tc>
          <w:tcPr>
            <w:tcW w:w="5447" w:type="dxa"/>
            <w:vAlign w:val="center"/>
          </w:tcPr>
          <w:p w14:paraId="06D3F83E">
            <w:pPr>
              <w:snapToGrid w:val="0"/>
              <w:spacing w:line="590" w:lineRule="atLeast"/>
              <w:rPr>
                <w:rFonts w:ascii="宋体" w:hAnsi="宋体" w:cs="宋体"/>
                <w:iCs/>
                <w:sz w:val="24"/>
                <w:highlight w:val="none"/>
              </w:rPr>
            </w:pPr>
          </w:p>
        </w:tc>
        <w:tc>
          <w:tcPr>
            <w:tcW w:w="1680" w:type="dxa"/>
            <w:vAlign w:val="center"/>
          </w:tcPr>
          <w:p w14:paraId="00F941BC">
            <w:pPr>
              <w:rPr>
                <w:rFonts w:ascii="宋体" w:hAnsi="宋体" w:cs="宋体"/>
                <w:highlight w:val="none"/>
              </w:rPr>
            </w:pPr>
          </w:p>
        </w:tc>
        <w:tc>
          <w:tcPr>
            <w:tcW w:w="1785" w:type="dxa"/>
            <w:vAlign w:val="center"/>
          </w:tcPr>
          <w:p w14:paraId="3DCF87D4">
            <w:pPr>
              <w:rPr>
                <w:rFonts w:ascii="宋体" w:hAnsi="宋体" w:cs="宋体"/>
                <w:highlight w:val="none"/>
              </w:rPr>
            </w:pPr>
          </w:p>
        </w:tc>
      </w:tr>
      <w:tr w14:paraId="3E3B37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646" w:type="dxa"/>
            <w:vAlign w:val="center"/>
          </w:tcPr>
          <w:p w14:paraId="129B7C2D">
            <w:pPr>
              <w:rPr>
                <w:rFonts w:ascii="宋体" w:hAnsi="宋体" w:cs="宋体"/>
                <w:highlight w:val="none"/>
              </w:rPr>
            </w:pPr>
            <w:r>
              <w:rPr>
                <w:rFonts w:hint="eastAsia" w:ascii="宋体" w:hAnsi="宋体" w:cs="宋体"/>
                <w:highlight w:val="none"/>
              </w:rPr>
              <w:t>7</w:t>
            </w:r>
          </w:p>
        </w:tc>
        <w:tc>
          <w:tcPr>
            <w:tcW w:w="5447" w:type="dxa"/>
            <w:vAlign w:val="center"/>
          </w:tcPr>
          <w:p w14:paraId="0B09E3CC">
            <w:pPr>
              <w:snapToGrid w:val="0"/>
              <w:spacing w:line="590" w:lineRule="atLeast"/>
              <w:rPr>
                <w:rFonts w:ascii="宋体" w:hAnsi="宋体" w:cs="宋体"/>
                <w:iCs/>
                <w:sz w:val="24"/>
                <w:highlight w:val="none"/>
              </w:rPr>
            </w:pPr>
          </w:p>
        </w:tc>
        <w:tc>
          <w:tcPr>
            <w:tcW w:w="1680" w:type="dxa"/>
            <w:vAlign w:val="center"/>
          </w:tcPr>
          <w:p w14:paraId="387E3BE8">
            <w:pPr>
              <w:rPr>
                <w:rFonts w:ascii="宋体" w:hAnsi="宋体" w:cs="宋体"/>
                <w:highlight w:val="none"/>
              </w:rPr>
            </w:pPr>
          </w:p>
        </w:tc>
        <w:tc>
          <w:tcPr>
            <w:tcW w:w="1785" w:type="dxa"/>
            <w:vAlign w:val="center"/>
          </w:tcPr>
          <w:p w14:paraId="3433AE14">
            <w:pPr>
              <w:rPr>
                <w:rFonts w:ascii="宋体" w:hAnsi="宋体" w:cs="宋体"/>
                <w:highlight w:val="none"/>
              </w:rPr>
            </w:pPr>
          </w:p>
        </w:tc>
      </w:tr>
    </w:tbl>
    <w:p w14:paraId="3CB8496B">
      <w:pPr>
        <w:spacing w:line="440" w:lineRule="exact"/>
        <w:ind w:firstLine="480" w:firstLineChars="200"/>
        <w:rPr>
          <w:rFonts w:ascii="宋体" w:hAnsi="宋体" w:cs="宋体"/>
          <w:sz w:val="24"/>
          <w:highlight w:val="none"/>
        </w:rPr>
      </w:pPr>
    </w:p>
    <w:p w14:paraId="14758B19">
      <w:pPr>
        <w:snapToGrid w:val="0"/>
        <w:spacing w:before="50" w:after="50"/>
        <w:rPr>
          <w:rFonts w:ascii="宋体" w:hAnsi="宋体" w:cs="宋体"/>
          <w:sz w:val="44"/>
          <w:highlight w:val="none"/>
        </w:rPr>
      </w:pPr>
      <w:r>
        <w:rPr>
          <w:rFonts w:hint="eastAsia" w:ascii="宋体" w:hAnsi="宋体" w:cs="宋体"/>
          <w:sz w:val="44"/>
          <w:highlight w:val="none"/>
        </w:rPr>
        <w:t xml:space="preserve"> </w:t>
      </w:r>
    </w:p>
    <w:p w14:paraId="6BF261C2">
      <w:pPr>
        <w:snapToGrid w:val="0"/>
        <w:spacing w:before="50" w:after="50"/>
        <w:rPr>
          <w:rFonts w:ascii="宋体" w:hAnsi="宋体" w:cs="宋体"/>
          <w:sz w:val="44"/>
          <w:highlight w:val="none"/>
        </w:rPr>
      </w:pPr>
    </w:p>
    <w:p w14:paraId="4D931776">
      <w:pPr>
        <w:snapToGrid w:val="0"/>
        <w:spacing w:before="50" w:after="50"/>
        <w:rPr>
          <w:rFonts w:ascii="宋体" w:hAnsi="宋体" w:cs="宋体"/>
          <w:sz w:val="44"/>
          <w:highlight w:val="none"/>
        </w:rPr>
      </w:pPr>
    </w:p>
    <w:p w14:paraId="05FF293F">
      <w:pPr>
        <w:snapToGrid w:val="0"/>
        <w:spacing w:before="50" w:after="50"/>
        <w:rPr>
          <w:rFonts w:ascii="宋体" w:hAnsi="宋体" w:cs="宋体"/>
          <w:sz w:val="44"/>
          <w:highlight w:val="none"/>
        </w:rPr>
      </w:pPr>
    </w:p>
    <w:p w14:paraId="3D75AAC1">
      <w:pPr>
        <w:pStyle w:val="21"/>
        <w:rPr>
          <w:highlight w:val="none"/>
        </w:rPr>
      </w:pPr>
    </w:p>
    <w:p w14:paraId="3E67C1DD">
      <w:pPr>
        <w:pStyle w:val="14"/>
        <w:ind w:firstLine="210"/>
        <w:rPr>
          <w:highlight w:val="none"/>
        </w:rPr>
      </w:pPr>
    </w:p>
    <w:p w14:paraId="38246EBF">
      <w:pPr>
        <w:snapToGrid w:val="0"/>
        <w:spacing w:before="50" w:after="50"/>
        <w:jc w:val="center"/>
        <w:rPr>
          <w:rFonts w:ascii="宋体" w:hAnsi="宋体" w:cs="宋体"/>
          <w:b/>
          <w:bCs/>
          <w:sz w:val="32"/>
          <w:szCs w:val="32"/>
          <w:highlight w:val="none"/>
        </w:rPr>
      </w:pPr>
      <w:r>
        <w:rPr>
          <w:rFonts w:hint="eastAsia" w:ascii="宋体" w:hAnsi="宋体" w:cs="宋体"/>
          <w:b/>
          <w:bCs/>
          <w:sz w:val="32"/>
          <w:szCs w:val="32"/>
          <w:highlight w:val="none"/>
        </w:rPr>
        <w:t>三、符合性检查响应对照表（格式）</w:t>
      </w:r>
    </w:p>
    <w:p w14:paraId="31C82A9A">
      <w:pPr>
        <w:ind w:firstLine="309"/>
        <w:rPr>
          <w:rFonts w:ascii="宋体" w:hAnsi="宋体" w:cs="宋体"/>
          <w:sz w:val="24"/>
          <w:highlight w:val="none"/>
        </w:rPr>
      </w:pPr>
      <w:r>
        <w:rPr>
          <w:rFonts w:hint="eastAsia" w:ascii="宋体" w:hAnsi="宋体" w:cs="宋体"/>
          <w:sz w:val="24"/>
          <w:highlight w:val="none"/>
        </w:rPr>
        <w:t>投标人全称（加盖公章）：</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5447"/>
        <w:gridCol w:w="1680"/>
        <w:gridCol w:w="1785"/>
      </w:tblGrid>
      <w:tr w14:paraId="4556BB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14:paraId="065F8830">
            <w:pPr>
              <w:snapToGrid w:val="0"/>
              <w:spacing w:line="240" w:lineRule="atLeast"/>
              <w:jc w:val="center"/>
              <w:rPr>
                <w:rFonts w:ascii="宋体" w:hAnsi="宋体" w:cs="宋体"/>
                <w:b/>
                <w:highlight w:val="none"/>
              </w:rPr>
            </w:pPr>
            <w:r>
              <w:rPr>
                <w:rFonts w:hint="eastAsia" w:ascii="宋体" w:hAnsi="宋体" w:cs="宋体"/>
                <w:b/>
                <w:highlight w:val="none"/>
              </w:rPr>
              <w:t>序号</w:t>
            </w:r>
          </w:p>
        </w:tc>
        <w:tc>
          <w:tcPr>
            <w:tcW w:w="5447" w:type="dxa"/>
            <w:vAlign w:val="center"/>
          </w:tcPr>
          <w:p w14:paraId="12F98992">
            <w:pPr>
              <w:snapToGrid w:val="0"/>
              <w:spacing w:line="240" w:lineRule="atLeast"/>
              <w:jc w:val="center"/>
              <w:rPr>
                <w:rFonts w:ascii="宋体" w:hAnsi="宋体" w:cs="宋体"/>
                <w:b/>
                <w:highlight w:val="none"/>
              </w:rPr>
            </w:pPr>
            <w:r>
              <w:rPr>
                <w:rFonts w:hint="eastAsia" w:ascii="宋体" w:hAnsi="宋体" w:cs="宋体"/>
                <w:b/>
                <w:highlight w:val="none"/>
              </w:rPr>
              <w:t>符合性检查响应内容</w:t>
            </w:r>
          </w:p>
        </w:tc>
        <w:tc>
          <w:tcPr>
            <w:tcW w:w="1680" w:type="dxa"/>
            <w:vAlign w:val="center"/>
          </w:tcPr>
          <w:p w14:paraId="7537ECA6">
            <w:pPr>
              <w:snapToGrid w:val="0"/>
              <w:spacing w:line="240" w:lineRule="atLeast"/>
              <w:jc w:val="center"/>
              <w:rPr>
                <w:rFonts w:ascii="宋体" w:hAnsi="宋体" w:cs="宋体"/>
                <w:b/>
                <w:highlight w:val="none"/>
              </w:rPr>
            </w:pPr>
            <w:r>
              <w:rPr>
                <w:rFonts w:hint="eastAsia" w:ascii="宋体" w:hAnsi="宋体" w:cs="宋体"/>
                <w:b/>
                <w:highlight w:val="none"/>
              </w:rPr>
              <w:t>是否响应</w:t>
            </w:r>
          </w:p>
          <w:p w14:paraId="5FB182C3">
            <w:pPr>
              <w:snapToGrid w:val="0"/>
              <w:spacing w:line="240" w:lineRule="atLeast"/>
              <w:jc w:val="center"/>
              <w:rPr>
                <w:rFonts w:ascii="宋体" w:hAnsi="宋体" w:cs="宋体"/>
                <w:b/>
                <w:highlight w:val="none"/>
              </w:rPr>
            </w:pPr>
            <w:r>
              <w:rPr>
                <w:rFonts w:hint="eastAsia" w:ascii="宋体" w:hAnsi="宋体" w:cs="宋体"/>
                <w:b/>
                <w:highlight w:val="none"/>
              </w:rPr>
              <w:t>（填是或者否）</w:t>
            </w:r>
          </w:p>
        </w:tc>
        <w:tc>
          <w:tcPr>
            <w:tcW w:w="1785" w:type="dxa"/>
            <w:vAlign w:val="center"/>
          </w:tcPr>
          <w:p w14:paraId="62AA2F54">
            <w:pPr>
              <w:snapToGrid w:val="0"/>
              <w:spacing w:line="240" w:lineRule="atLeast"/>
              <w:jc w:val="center"/>
              <w:rPr>
                <w:rFonts w:ascii="宋体" w:hAnsi="宋体" w:cs="宋体"/>
                <w:b/>
                <w:highlight w:val="none"/>
              </w:rPr>
            </w:pPr>
            <w:r>
              <w:rPr>
                <w:rFonts w:hint="eastAsia" w:ascii="宋体" w:hAnsi="宋体" w:cs="宋体"/>
                <w:b/>
                <w:highlight w:val="none"/>
              </w:rPr>
              <w:t>投标文件中的</w:t>
            </w:r>
          </w:p>
          <w:p w14:paraId="590186F8">
            <w:pPr>
              <w:snapToGrid w:val="0"/>
              <w:spacing w:line="240" w:lineRule="atLeast"/>
              <w:jc w:val="center"/>
              <w:rPr>
                <w:rFonts w:ascii="宋体" w:hAnsi="宋体" w:cs="宋体"/>
                <w:b/>
                <w:highlight w:val="none"/>
              </w:rPr>
            </w:pPr>
            <w:r>
              <w:rPr>
                <w:rFonts w:hint="eastAsia" w:ascii="宋体" w:hAnsi="宋体" w:cs="宋体"/>
                <w:b/>
                <w:highlight w:val="none"/>
              </w:rPr>
              <w:t>页码位置</w:t>
            </w:r>
          </w:p>
        </w:tc>
      </w:tr>
      <w:tr w14:paraId="337A64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646" w:type="dxa"/>
            <w:vAlign w:val="center"/>
          </w:tcPr>
          <w:p w14:paraId="5159CFC1">
            <w:pPr>
              <w:rPr>
                <w:rFonts w:ascii="宋体" w:hAnsi="宋体" w:cs="宋体"/>
                <w:b/>
                <w:highlight w:val="none"/>
              </w:rPr>
            </w:pPr>
            <w:r>
              <w:rPr>
                <w:rFonts w:hint="eastAsia" w:ascii="宋体" w:hAnsi="宋体" w:cs="宋体"/>
                <w:b/>
                <w:highlight w:val="none"/>
              </w:rPr>
              <w:t>1</w:t>
            </w:r>
          </w:p>
        </w:tc>
        <w:tc>
          <w:tcPr>
            <w:tcW w:w="5447" w:type="dxa"/>
            <w:vAlign w:val="center"/>
          </w:tcPr>
          <w:p w14:paraId="3671B833">
            <w:pPr>
              <w:spacing w:line="480" w:lineRule="exact"/>
              <w:rPr>
                <w:rFonts w:ascii="宋体" w:hAnsi="宋体" w:cs="宋体"/>
                <w:iCs/>
                <w:sz w:val="24"/>
                <w:highlight w:val="none"/>
              </w:rPr>
            </w:pPr>
          </w:p>
        </w:tc>
        <w:tc>
          <w:tcPr>
            <w:tcW w:w="1680" w:type="dxa"/>
            <w:vAlign w:val="center"/>
          </w:tcPr>
          <w:p w14:paraId="5EBB5D83">
            <w:pPr>
              <w:rPr>
                <w:rFonts w:ascii="宋体" w:hAnsi="宋体" w:cs="宋体"/>
                <w:b/>
                <w:highlight w:val="none"/>
              </w:rPr>
            </w:pPr>
          </w:p>
        </w:tc>
        <w:tc>
          <w:tcPr>
            <w:tcW w:w="1785" w:type="dxa"/>
            <w:vAlign w:val="center"/>
          </w:tcPr>
          <w:p w14:paraId="67CB4532">
            <w:pPr>
              <w:rPr>
                <w:rFonts w:ascii="宋体" w:hAnsi="宋体" w:cs="宋体"/>
                <w:b/>
                <w:highlight w:val="none"/>
              </w:rPr>
            </w:pPr>
          </w:p>
        </w:tc>
      </w:tr>
      <w:tr w14:paraId="683A1C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646" w:type="dxa"/>
            <w:vAlign w:val="center"/>
          </w:tcPr>
          <w:p w14:paraId="70F7F66E">
            <w:pPr>
              <w:rPr>
                <w:rFonts w:ascii="宋体" w:hAnsi="宋体" w:cs="宋体"/>
                <w:highlight w:val="none"/>
              </w:rPr>
            </w:pPr>
            <w:r>
              <w:rPr>
                <w:rFonts w:hint="eastAsia" w:ascii="宋体" w:hAnsi="宋体" w:cs="宋体"/>
                <w:highlight w:val="none"/>
              </w:rPr>
              <w:t>2</w:t>
            </w:r>
          </w:p>
        </w:tc>
        <w:tc>
          <w:tcPr>
            <w:tcW w:w="5447" w:type="dxa"/>
            <w:vAlign w:val="center"/>
          </w:tcPr>
          <w:p w14:paraId="50A60B2E">
            <w:pPr>
              <w:spacing w:line="480" w:lineRule="exact"/>
              <w:rPr>
                <w:rFonts w:ascii="宋体" w:hAnsi="宋体" w:cs="宋体"/>
                <w:iCs/>
                <w:sz w:val="24"/>
                <w:highlight w:val="none"/>
              </w:rPr>
            </w:pPr>
          </w:p>
        </w:tc>
        <w:tc>
          <w:tcPr>
            <w:tcW w:w="1680" w:type="dxa"/>
            <w:vAlign w:val="center"/>
          </w:tcPr>
          <w:p w14:paraId="31688E7E">
            <w:pPr>
              <w:rPr>
                <w:rFonts w:ascii="宋体" w:hAnsi="宋体" w:cs="宋体"/>
                <w:highlight w:val="none"/>
              </w:rPr>
            </w:pPr>
          </w:p>
        </w:tc>
        <w:tc>
          <w:tcPr>
            <w:tcW w:w="1785" w:type="dxa"/>
            <w:vAlign w:val="center"/>
          </w:tcPr>
          <w:p w14:paraId="1C480B00">
            <w:pPr>
              <w:rPr>
                <w:rFonts w:ascii="宋体" w:hAnsi="宋体" w:cs="宋体"/>
                <w:highlight w:val="none"/>
              </w:rPr>
            </w:pPr>
          </w:p>
        </w:tc>
      </w:tr>
      <w:tr w14:paraId="509421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646" w:type="dxa"/>
            <w:vAlign w:val="center"/>
          </w:tcPr>
          <w:p w14:paraId="6AC428D7">
            <w:pPr>
              <w:rPr>
                <w:rFonts w:ascii="宋体" w:hAnsi="宋体" w:cs="宋体"/>
                <w:highlight w:val="none"/>
              </w:rPr>
            </w:pPr>
            <w:r>
              <w:rPr>
                <w:rFonts w:hint="eastAsia" w:ascii="宋体" w:hAnsi="宋体" w:cs="宋体"/>
                <w:highlight w:val="none"/>
              </w:rPr>
              <w:t>3</w:t>
            </w:r>
          </w:p>
        </w:tc>
        <w:tc>
          <w:tcPr>
            <w:tcW w:w="5447" w:type="dxa"/>
            <w:vAlign w:val="center"/>
          </w:tcPr>
          <w:p w14:paraId="6F2D541C">
            <w:pPr>
              <w:spacing w:line="480" w:lineRule="exact"/>
              <w:rPr>
                <w:rFonts w:ascii="宋体" w:hAnsi="宋体" w:cs="宋体"/>
                <w:iCs/>
                <w:sz w:val="24"/>
                <w:highlight w:val="none"/>
              </w:rPr>
            </w:pPr>
          </w:p>
        </w:tc>
        <w:tc>
          <w:tcPr>
            <w:tcW w:w="1680" w:type="dxa"/>
            <w:vAlign w:val="center"/>
          </w:tcPr>
          <w:p w14:paraId="440ACCCA">
            <w:pPr>
              <w:rPr>
                <w:rFonts w:ascii="宋体" w:hAnsi="宋体" w:cs="宋体"/>
                <w:highlight w:val="none"/>
              </w:rPr>
            </w:pPr>
          </w:p>
        </w:tc>
        <w:tc>
          <w:tcPr>
            <w:tcW w:w="1785" w:type="dxa"/>
            <w:vAlign w:val="center"/>
          </w:tcPr>
          <w:p w14:paraId="1CEE758A">
            <w:pPr>
              <w:rPr>
                <w:rFonts w:ascii="宋体" w:hAnsi="宋体" w:cs="宋体"/>
                <w:highlight w:val="none"/>
              </w:rPr>
            </w:pPr>
          </w:p>
        </w:tc>
      </w:tr>
      <w:tr w14:paraId="4D0676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6" w:hRule="atLeast"/>
        </w:trPr>
        <w:tc>
          <w:tcPr>
            <w:tcW w:w="646" w:type="dxa"/>
            <w:vAlign w:val="center"/>
          </w:tcPr>
          <w:p w14:paraId="4C466DC1">
            <w:pPr>
              <w:rPr>
                <w:rFonts w:ascii="宋体" w:hAnsi="宋体" w:cs="宋体"/>
                <w:highlight w:val="none"/>
              </w:rPr>
            </w:pPr>
            <w:r>
              <w:rPr>
                <w:rFonts w:hint="eastAsia" w:ascii="宋体" w:hAnsi="宋体" w:cs="宋体"/>
                <w:highlight w:val="none"/>
              </w:rPr>
              <w:t>4</w:t>
            </w:r>
          </w:p>
        </w:tc>
        <w:tc>
          <w:tcPr>
            <w:tcW w:w="5447" w:type="dxa"/>
            <w:vAlign w:val="center"/>
          </w:tcPr>
          <w:p w14:paraId="0A0F29EC">
            <w:pPr>
              <w:spacing w:line="360" w:lineRule="auto"/>
              <w:rPr>
                <w:rFonts w:ascii="宋体" w:hAnsi="宋体" w:cs="宋体"/>
                <w:iCs/>
                <w:sz w:val="24"/>
                <w:highlight w:val="none"/>
              </w:rPr>
            </w:pPr>
          </w:p>
        </w:tc>
        <w:tc>
          <w:tcPr>
            <w:tcW w:w="1680" w:type="dxa"/>
            <w:vAlign w:val="center"/>
          </w:tcPr>
          <w:p w14:paraId="5AD5C334">
            <w:pPr>
              <w:rPr>
                <w:rFonts w:ascii="宋体" w:hAnsi="宋体" w:cs="宋体"/>
                <w:highlight w:val="none"/>
              </w:rPr>
            </w:pPr>
          </w:p>
        </w:tc>
        <w:tc>
          <w:tcPr>
            <w:tcW w:w="1785" w:type="dxa"/>
            <w:vAlign w:val="center"/>
          </w:tcPr>
          <w:p w14:paraId="71F3D632">
            <w:pPr>
              <w:rPr>
                <w:rFonts w:ascii="宋体" w:hAnsi="宋体" w:cs="宋体"/>
                <w:highlight w:val="none"/>
              </w:rPr>
            </w:pPr>
          </w:p>
        </w:tc>
      </w:tr>
      <w:tr w14:paraId="10B02C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5" w:hRule="atLeast"/>
        </w:trPr>
        <w:tc>
          <w:tcPr>
            <w:tcW w:w="646" w:type="dxa"/>
            <w:vAlign w:val="center"/>
          </w:tcPr>
          <w:p w14:paraId="7D7818E9">
            <w:pPr>
              <w:rPr>
                <w:rFonts w:ascii="宋体" w:hAnsi="宋体" w:cs="宋体"/>
                <w:highlight w:val="none"/>
              </w:rPr>
            </w:pPr>
            <w:r>
              <w:rPr>
                <w:rFonts w:hint="eastAsia" w:ascii="宋体" w:hAnsi="宋体" w:cs="宋体"/>
                <w:highlight w:val="none"/>
              </w:rPr>
              <w:t>5</w:t>
            </w:r>
          </w:p>
        </w:tc>
        <w:tc>
          <w:tcPr>
            <w:tcW w:w="5447" w:type="dxa"/>
            <w:vAlign w:val="center"/>
          </w:tcPr>
          <w:p w14:paraId="2D1E03B2">
            <w:pPr>
              <w:snapToGrid w:val="0"/>
              <w:spacing w:line="590" w:lineRule="atLeast"/>
              <w:rPr>
                <w:rFonts w:ascii="宋体" w:hAnsi="宋体" w:cs="宋体"/>
                <w:iCs/>
                <w:sz w:val="24"/>
                <w:highlight w:val="none"/>
              </w:rPr>
            </w:pPr>
          </w:p>
        </w:tc>
        <w:tc>
          <w:tcPr>
            <w:tcW w:w="1680" w:type="dxa"/>
            <w:vAlign w:val="center"/>
          </w:tcPr>
          <w:p w14:paraId="0AD09EC1">
            <w:pPr>
              <w:rPr>
                <w:rFonts w:ascii="宋体" w:hAnsi="宋体" w:cs="宋体"/>
                <w:highlight w:val="none"/>
              </w:rPr>
            </w:pPr>
          </w:p>
        </w:tc>
        <w:tc>
          <w:tcPr>
            <w:tcW w:w="1785" w:type="dxa"/>
            <w:vAlign w:val="center"/>
          </w:tcPr>
          <w:p w14:paraId="104D5284">
            <w:pPr>
              <w:rPr>
                <w:rFonts w:ascii="宋体" w:hAnsi="宋体" w:cs="宋体"/>
                <w:highlight w:val="none"/>
              </w:rPr>
            </w:pPr>
          </w:p>
        </w:tc>
      </w:tr>
      <w:tr w14:paraId="147231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46" w:type="dxa"/>
            <w:vAlign w:val="center"/>
          </w:tcPr>
          <w:p w14:paraId="673B651C">
            <w:pPr>
              <w:rPr>
                <w:rFonts w:ascii="宋体" w:hAnsi="宋体" w:cs="宋体"/>
                <w:highlight w:val="none"/>
              </w:rPr>
            </w:pPr>
            <w:r>
              <w:rPr>
                <w:rFonts w:hint="eastAsia" w:ascii="宋体" w:hAnsi="宋体" w:cs="宋体"/>
                <w:highlight w:val="none"/>
              </w:rPr>
              <w:t>6</w:t>
            </w:r>
          </w:p>
        </w:tc>
        <w:tc>
          <w:tcPr>
            <w:tcW w:w="5447" w:type="dxa"/>
            <w:vAlign w:val="center"/>
          </w:tcPr>
          <w:p w14:paraId="48FCE623">
            <w:pPr>
              <w:snapToGrid w:val="0"/>
              <w:spacing w:line="590" w:lineRule="atLeast"/>
              <w:rPr>
                <w:rFonts w:ascii="宋体" w:hAnsi="宋体" w:cs="宋体"/>
                <w:iCs/>
                <w:sz w:val="24"/>
                <w:highlight w:val="none"/>
              </w:rPr>
            </w:pPr>
          </w:p>
        </w:tc>
        <w:tc>
          <w:tcPr>
            <w:tcW w:w="1680" w:type="dxa"/>
            <w:vAlign w:val="center"/>
          </w:tcPr>
          <w:p w14:paraId="3833991B">
            <w:pPr>
              <w:rPr>
                <w:rFonts w:ascii="宋体" w:hAnsi="宋体" w:cs="宋体"/>
                <w:highlight w:val="none"/>
              </w:rPr>
            </w:pPr>
          </w:p>
        </w:tc>
        <w:tc>
          <w:tcPr>
            <w:tcW w:w="1785" w:type="dxa"/>
            <w:vAlign w:val="center"/>
          </w:tcPr>
          <w:p w14:paraId="3550FC87">
            <w:pPr>
              <w:rPr>
                <w:rFonts w:ascii="宋体" w:hAnsi="宋体" w:cs="宋体"/>
                <w:highlight w:val="none"/>
              </w:rPr>
            </w:pPr>
          </w:p>
        </w:tc>
      </w:tr>
      <w:tr w14:paraId="5AA098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646" w:type="dxa"/>
            <w:vAlign w:val="center"/>
          </w:tcPr>
          <w:p w14:paraId="50F01924">
            <w:pPr>
              <w:rPr>
                <w:rFonts w:ascii="宋体" w:hAnsi="宋体" w:cs="宋体"/>
                <w:highlight w:val="none"/>
              </w:rPr>
            </w:pPr>
            <w:r>
              <w:rPr>
                <w:rFonts w:hint="eastAsia" w:ascii="宋体" w:hAnsi="宋体" w:cs="宋体"/>
                <w:highlight w:val="none"/>
              </w:rPr>
              <w:t>7</w:t>
            </w:r>
          </w:p>
        </w:tc>
        <w:tc>
          <w:tcPr>
            <w:tcW w:w="5447" w:type="dxa"/>
            <w:vAlign w:val="center"/>
          </w:tcPr>
          <w:p w14:paraId="17B2563C">
            <w:pPr>
              <w:snapToGrid w:val="0"/>
              <w:spacing w:line="590" w:lineRule="atLeast"/>
              <w:rPr>
                <w:rFonts w:ascii="宋体" w:hAnsi="宋体" w:cs="宋体"/>
                <w:iCs/>
                <w:sz w:val="24"/>
                <w:highlight w:val="none"/>
              </w:rPr>
            </w:pPr>
            <w:r>
              <w:rPr>
                <w:rFonts w:hint="eastAsia" w:ascii="宋体" w:hAnsi="宋体" w:cs="宋体"/>
                <w:iCs/>
                <w:sz w:val="24"/>
                <w:highlight w:val="none"/>
              </w:rPr>
              <w:t>招标文件中的其他实质性要求</w:t>
            </w:r>
          </w:p>
        </w:tc>
        <w:tc>
          <w:tcPr>
            <w:tcW w:w="1680" w:type="dxa"/>
            <w:vAlign w:val="center"/>
          </w:tcPr>
          <w:p w14:paraId="2109407E">
            <w:pPr>
              <w:rPr>
                <w:rFonts w:ascii="宋体" w:hAnsi="宋体" w:cs="宋体"/>
                <w:highlight w:val="none"/>
              </w:rPr>
            </w:pPr>
          </w:p>
        </w:tc>
        <w:tc>
          <w:tcPr>
            <w:tcW w:w="1785" w:type="dxa"/>
            <w:vAlign w:val="center"/>
          </w:tcPr>
          <w:p w14:paraId="6EF83B9F">
            <w:pPr>
              <w:rPr>
                <w:rFonts w:ascii="宋体" w:hAnsi="宋体" w:cs="宋体"/>
                <w:highlight w:val="none"/>
              </w:rPr>
            </w:pPr>
          </w:p>
        </w:tc>
      </w:tr>
    </w:tbl>
    <w:p w14:paraId="4F680ED9">
      <w:pPr>
        <w:pStyle w:val="2"/>
        <w:spacing w:line="500" w:lineRule="exact"/>
        <w:rPr>
          <w:rFonts w:ascii="仿宋" w:hAnsi="仿宋" w:eastAsia="仿宋" w:cs="仿宋"/>
          <w:sz w:val="36"/>
          <w:szCs w:val="36"/>
          <w:highlight w:val="none"/>
        </w:rPr>
      </w:pPr>
    </w:p>
    <w:p w14:paraId="18916DBF">
      <w:pPr>
        <w:rPr>
          <w:rFonts w:ascii="仿宋" w:hAnsi="仿宋" w:eastAsia="仿宋" w:cs="仿宋"/>
          <w:sz w:val="36"/>
          <w:szCs w:val="36"/>
          <w:highlight w:val="none"/>
        </w:rPr>
      </w:pPr>
    </w:p>
    <w:p w14:paraId="0A12AC78">
      <w:pPr>
        <w:pStyle w:val="6"/>
        <w:rPr>
          <w:rFonts w:ascii="仿宋" w:hAnsi="仿宋" w:eastAsia="仿宋" w:cs="仿宋"/>
          <w:sz w:val="36"/>
          <w:szCs w:val="36"/>
          <w:highlight w:val="none"/>
        </w:rPr>
      </w:pPr>
    </w:p>
    <w:p w14:paraId="26A49683">
      <w:pPr>
        <w:rPr>
          <w:highlight w:val="none"/>
        </w:rPr>
      </w:pPr>
    </w:p>
    <w:p w14:paraId="7A133F04">
      <w:pPr>
        <w:pStyle w:val="21"/>
        <w:rPr>
          <w:highlight w:val="none"/>
        </w:rPr>
      </w:pPr>
    </w:p>
    <w:p w14:paraId="5DA150DD">
      <w:pPr>
        <w:pStyle w:val="21"/>
        <w:rPr>
          <w:highlight w:val="none"/>
        </w:rPr>
      </w:pPr>
    </w:p>
    <w:p w14:paraId="3DA6C56D">
      <w:pPr>
        <w:rPr>
          <w:highlight w:val="none"/>
        </w:rPr>
      </w:pPr>
    </w:p>
    <w:p w14:paraId="06377FC8">
      <w:pPr>
        <w:pStyle w:val="24"/>
        <w:keepNext/>
        <w:keepLines/>
        <w:widowControl w:val="0"/>
        <w:spacing w:before="260" w:beforeAutospacing="0" w:after="260" w:afterAutospacing="0" w:line="415" w:lineRule="auto"/>
        <w:jc w:val="center"/>
        <w:rPr>
          <w:rFonts w:ascii="Times New Roman" w:hAnsi="Times New Roman" w:eastAsia="黑体" w:cs="黑体"/>
          <w:b/>
          <w:bCs/>
          <w:i/>
          <w:color w:val="000000"/>
          <w:sz w:val="32"/>
          <w:szCs w:val="32"/>
          <w:highlight w:val="none"/>
          <w:u w:val="single"/>
        </w:rPr>
      </w:pPr>
      <w:r>
        <w:rPr>
          <w:rFonts w:hint="eastAsia" w:ascii="Times New Roman" w:hAnsi="Times New Roman" w:eastAsia="黑体" w:cs="黑体"/>
          <w:b/>
          <w:bCs/>
          <w:i/>
          <w:color w:val="000000"/>
          <w:sz w:val="32"/>
          <w:szCs w:val="32"/>
          <w:highlight w:val="none"/>
          <w:u w:val="single"/>
        </w:rPr>
        <w:t>四、询价响应函</w:t>
      </w:r>
    </w:p>
    <w:p w14:paraId="607F995C">
      <w:pPr>
        <w:pStyle w:val="24"/>
        <w:widowControl w:val="0"/>
        <w:spacing w:before="0" w:beforeAutospacing="0" w:after="0" w:afterAutospacing="0" w:line="0" w:lineRule="atLeast"/>
        <w:rPr>
          <w:rFonts w:ascii="Times New Roman" w:hAnsi="Times New Roman"/>
          <w:highlight w:val="none"/>
        </w:rPr>
      </w:pPr>
      <w:r>
        <w:rPr>
          <w:rFonts w:hint="eastAsia" w:ascii="Times New Roman" w:hAnsi="Times New Roman"/>
          <w:color w:val="000000"/>
          <w:highlight w:val="none"/>
        </w:rPr>
        <w:t>致：</w:t>
      </w:r>
      <w:r>
        <w:rPr>
          <w:rFonts w:hint="eastAsia" w:ascii="宋体" w:hAnsi="宋体" w:eastAsia="宋体" w:cs="宋体"/>
          <w:color w:val="000000"/>
          <w:sz w:val="24"/>
          <w:szCs w:val="24"/>
          <w:highlight w:val="none"/>
          <w:lang w:eastAsia="zh-CN"/>
        </w:rPr>
        <w:t>盐城幼儿师范高等专科学校</w:t>
      </w:r>
    </w:p>
    <w:p w14:paraId="3A607732">
      <w:pPr>
        <w:spacing w:line="520" w:lineRule="exact"/>
        <w:ind w:firstLine="480"/>
        <w:jc w:val="left"/>
        <w:rPr>
          <w:rFonts w:ascii="Times New Roman" w:hAnsi="Times New Roman" w:cs="宋体"/>
          <w:sz w:val="24"/>
          <w:highlight w:val="none"/>
        </w:rPr>
      </w:pPr>
      <w:r>
        <w:rPr>
          <w:rFonts w:hint="eastAsia" w:ascii="Times New Roman" w:hAnsi="Times New Roman" w:cs="宋体"/>
          <w:sz w:val="24"/>
          <w:highlight w:val="none"/>
        </w:rPr>
        <w:t>根据贵方的</w:t>
      </w:r>
      <w:r>
        <w:rPr>
          <w:rFonts w:hint="eastAsia" w:ascii="Times New Roman" w:hAnsi="Times New Roman" w:cs="宋体"/>
          <w:sz w:val="24"/>
          <w:highlight w:val="none"/>
          <w:u w:val="single"/>
        </w:rPr>
        <w:t>YCYZ2024</w:t>
      </w:r>
      <w:r>
        <w:rPr>
          <w:rFonts w:hint="eastAsia" w:ascii="Times New Roman" w:hAnsi="Times New Roman" w:cs="宋体"/>
          <w:sz w:val="24"/>
          <w:highlight w:val="none"/>
          <w:u w:val="single"/>
          <w:lang w:val="en-US" w:eastAsia="zh-CN"/>
        </w:rPr>
        <w:t>HW</w:t>
      </w:r>
      <w:r>
        <w:rPr>
          <w:rFonts w:hint="eastAsia" w:ascii="Times New Roman" w:hAnsi="Times New Roman" w:cs="宋体"/>
          <w:sz w:val="24"/>
          <w:highlight w:val="none"/>
          <w:u w:val="single"/>
          <w:lang w:eastAsia="zh-CN"/>
        </w:rPr>
        <w:t>00</w:t>
      </w:r>
      <w:r>
        <w:rPr>
          <w:rFonts w:hint="eastAsia" w:ascii="Times New Roman" w:hAnsi="Times New Roman" w:cs="宋体"/>
          <w:sz w:val="24"/>
          <w:highlight w:val="none"/>
          <w:u w:val="single"/>
          <w:lang w:val="en-US" w:eastAsia="zh-CN"/>
        </w:rPr>
        <w:t>1</w:t>
      </w:r>
      <w:r>
        <w:rPr>
          <w:rFonts w:hint="eastAsia" w:ascii="Times New Roman" w:hAnsi="Times New Roman" w:cs="宋体"/>
          <w:sz w:val="24"/>
          <w:highlight w:val="none"/>
        </w:rPr>
        <w:t>号询价文件，正式授权下述签字人______(姓名)代表我方______________（供应商的名称），全权处理本次项目询价的有关事宜。</w:t>
      </w:r>
    </w:p>
    <w:p w14:paraId="4FDA470E">
      <w:pPr>
        <w:spacing w:line="520" w:lineRule="exact"/>
        <w:ind w:firstLine="480"/>
        <w:jc w:val="left"/>
        <w:rPr>
          <w:rFonts w:ascii="Times New Roman" w:hAnsi="Times New Roman" w:cs="宋体"/>
          <w:sz w:val="24"/>
          <w:highlight w:val="none"/>
        </w:rPr>
      </w:pPr>
      <w:r>
        <w:rPr>
          <w:rFonts w:hint="eastAsia" w:ascii="Times New Roman" w:hAnsi="Times New Roman" w:cs="宋体"/>
          <w:sz w:val="24"/>
          <w:highlight w:val="none"/>
        </w:rPr>
        <w:t>据此函，__________签字人兹宣布同意如下：</w:t>
      </w:r>
    </w:p>
    <w:p w14:paraId="2A055419">
      <w:pPr>
        <w:spacing w:line="520" w:lineRule="exact"/>
        <w:ind w:firstLine="480"/>
        <w:jc w:val="left"/>
        <w:rPr>
          <w:rFonts w:ascii="Times New Roman" w:hAnsi="Times New Roman" w:cs="宋体"/>
          <w:sz w:val="24"/>
          <w:highlight w:val="none"/>
        </w:rPr>
      </w:pPr>
      <w:r>
        <w:rPr>
          <w:rFonts w:hint="eastAsia" w:ascii="Times New Roman" w:hAnsi="Times New Roman" w:cs="宋体"/>
          <w:sz w:val="24"/>
          <w:highlight w:val="none"/>
        </w:rPr>
        <w:t>1.按询价文件规定的各项要求，向买方提供所需货物、服务（包含与货物相关的服务及与服务相关的货物）。</w:t>
      </w:r>
    </w:p>
    <w:p w14:paraId="22A008AA">
      <w:pPr>
        <w:spacing w:line="520" w:lineRule="exact"/>
        <w:ind w:firstLine="480"/>
        <w:jc w:val="left"/>
        <w:rPr>
          <w:rFonts w:ascii="Times New Roman" w:hAnsi="Times New Roman" w:cs="宋体"/>
          <w:sz w:val="24"/>
          <w:highlight w:val="none"/>
        </w:rPr>
      </w:pPr>
      <w:r>
        <w:rPr>
          <w:rFonts w:hint="eastAsia" w:ascii="Times New Roman" w:hAnsi="Times New Roman" w:cs="宋体"/>
          <w:sz w:val="24"/>
          <w:highlight w:val="none"/>
        </w:rPr>
        <w:t>2.我们已详细审核全部询价文件及其有效补充文件，我们知道必须放弃提出含糊不清或误解问题的权利。</w:t>
      </w:r>
    </w:p>
    <w:p w14:paraId="34BCDD12">
      <w:pPr>
        <w:spacing w:line="520" w:lineRule="exact"/>
        <w:ind w:firstLine="480"/>
        <w:jc w:val="left"/>
        <w:rPr>
          <w:rFonts w:ascii="Times New Roman" w:hAnsi="Times New Roman" w:cs="宋体"/>
          <w:sz w:val="24"/>
          <w:highlight w:val="none"/>
        </w:rPr>
      </w:pPr>
      <w:r>
        <w:rPr>
          <w:rFonts w:hint="eastAsia" w:ascii="Times New Roman" w:hAnsi="Times New Roman" w:cs="宋体"/>
          <w:sz w:val="24"/>
          <w:highlight w:val="none"/>
        </w:rPr>
        <w:t>3.我们同意从规定的开标日期起遵循本响应文件，并在规定的询价有效期期满之前均具有约束力。</w:t>
      </w:r>
    </w:p>
    <w:p w14:paraId="627BC53F">
      <w:pPr>
        <w:spacing w:line="520" w:lineRule="exact"/>
        <w:ind w:firstLine="480"/>
        <w:jc w:val="left"/>
        <w:rPr>
          <w:rFonts w:ascii="Times New Roman" w:hAnsi="Times New Roman" w:cs="宋体"/>
          <w:sz w:val="24"/>
          <w:highlight w:val="none"/>
        </w:rPr>
      </w:pPr>
      <w:r>
        <w:rPr>
          <w:rFonts w:hint="eastAsia" w:ascii="Times New Roman" w:hAnsi="Times New Roman" w:cs="宋体"/>
          <w:sz w:val="24"/>
          <w:highlight w:val="none"/>
        </w:rPr>
        <w:t>4.同意向贵方提供贵方可能另外要求的与询价有关的任何证据或资料，并保证我方已提供和将要提供的文件是真实的、准确的。</w:t>
      </w:r>
    </w:p>
    <w:p w14:paraId="75559C59">
      <w:pPr>
        <w:spacing w:line="520" w:lineRule="exact"/>
        <w:ind w:firstLine="480"/>
        <w:jc w:val="left"/>
        <w:rPr>
          <w:rFonts w:ascii="Times New Roman" w:hAnsi="Times New Roman" w:cs="宋体"/>
          <w:sz w:val="24"/>
          <w:highlight w:val="none"/>
        </w:rPr>
      </w:pPr>
      <w:r>
        <w:rPr>
          <w:rFonts w:hint="eastAsia" w:ascii="Times New Roman" w:hAnsi="Times New Roman" w:cs="宋体"/>
          <w:sz w:val="24"/>
          <w:highlight w:val="none"/>
        </w:rPr>
        <w:t>5.一旦我方成交,我方将根据询价文件的规定，严格履行合同的责任和义务,并保证在询价文件规定的时间完成项目，交付买方验收、使用。</w:t>
      </w:r>
    </w:p>
    <w:p w14:paraId="14606C72">
      <w:pPr>
        <w:spacing w:line="520" w:lineRule="exact"/>
        <w:ind w:firstLine="480"/>
        <w:jc w:val="left"/>
        <w:rPr>
          <w:rFonts w:ascii="Times New Roman" w:hAnsi="Times New Roman" w:cs="宋体"/>
          <w:sz w:val="24"/>
          <w:highlight w:val="none"/>
        </w:rPr>
      </w:pPr>
      <w:r>
        <w:rPr>
          <w:rFonts w:hint="eastAsia" w:ascii="Times New Roman" w:hAnsi="Times New Roman" w:cs="宋体"/>
          <w:sz w:val="24"/>
          <w:highlight w:val="none"/>
        </w:rPr>
        <w:t>6.我方与本询价有关的正式通讯地址为：</w:t>
      </w:r>
    </w:p>
    <w:p w14:paraId="1D097A64">
      <w:pPr>
        <w:spacing w:line="520" w:lineRule="exact"/>
        <w:ind w:firstLine="480"/>
        <w:jc w:val="left"/>
        <w:rPr>
          <w:rFonts w:ascii="Times New Roman" w:hAnsi="Times New Roman" w:cs="宋体"/>
          <w:sz w:val="24"/>
          <w:highlight w:val="none"/>
        </w:rPr>
      </w:pPr>
      <w:r>
        <w:rPr>
          <w:rFonts w:hint="eastAsia" w:ascii="Times New Roman" w:hAnsi="Times New Roman" w:cs="宋体"/>
          <w:sz w:val="24"/>
          <w:highlight w:val="none"/>
        </w:rPr>
        <w:t>地    址：</w:t>
      </w:r>
    </w:p>
    <w:p w14:paraId="6C26663C">
      <w:pPr>
        <w:spacing w:line="520" w:lineRule="exact"/>
        <w:ind w:firstLine="480"/>
        <w:jc w:val="left"/>
        <w:rPr>
          <w:rFonts w:ascii="Times New Roman" w:hAnsi="Times New Roman" w:cs="宋体"/>
          <w:sz w:val="24"/>
          <w:highlight w:val="none"/>
        </w:rPr>
      </w:pPr>
      <w:r>
        <w:rPr>
          <w:rFonts w:hint="eastAsia" w:ascii="Times New Roman" w:hAnsi="Times New Roman" w:cs="宋体"/>
          <w:sz w:val="24"/>
          <w:highlight w:val="none"/>
        </w:rPr>
        <w:t>邮   编：</w:t>
      </w:r>
    </w:p>
    <w:p w14:paraId="6402675D">
      <w:pPr>
        <w:spacing w:line="520" w:lineRule="exact"/>
        <w:ind w:firstLine="480"/>
        <w:jc w:val="left"/>
        <w:rPr>
          <w:rFonts w:ascii="Times New Roman" w:hAnsi="Times New Roman" w:cs="宋体"/>
          <w:sz w:val="24"/>
          <w:highlight w:val="none"/>
        </w:rPr>
      </w:pPr>
      <w:r>
        <w:rPr>
          <w:rFonts w:hint="eastAsia" w:ascii="Times New Roman" w:hAnsi="Times New Roman" w:cs="宋体"/>
          <w:sz w:val="24"/>
          <w:highlight w:val="none"/>
        </w:rPr>
        <w:t>电    话：</w:t>
      </w:r>
    </w:p>
    <w:p w14:paraId="28469717">
      <w:pPr>
        <w:spacing w:line="520" w:lineRule="exact"/>
        <w:ind w:firstLine="480"/>
        <w:jc w:val="left"/>
        <w:rPr>
          <w:rFonts w:ascii="Times New Roman" w:hAnsi="Times New Roman" w:cs="宋体"/>
          <w:sz w:val="24"/>
          <w:highlight w:val="none"/>
        </w:rPr>
      </w:pPr>
      <w:r>
        <w:rPr>
          <w:rFonts w:hint="eastAsia" w:ascii="Times New Roman" w:hAnsi="Times New Roman" w:cs="宋体"/>
          <w:sz w:val="24"/>
          <w:highlight w:val="none"/>
        </w:rPr>
        <w:t>传   真：</w:t>
      </w:r>
    </w:p>
    <w:p w14:paraId="3BA90D6E">
      <w:pPr>
        <w:spacing w:line="520" w:lineRule="exact"/>
        <w:ind w:firstLine="480"/>
        <w:jc w:val="left"/>
        <w:rPr>
          <w:rFonts w:ascii="Times New Roman" w:hAnsi="Times New Roman" w:cs="宋体"/>
          <w:sz w:val="24"/>
          <w:highlight w:val="none"/>
        </w:rPr>
      </w:pPr>
      <w:r>
        <w:rPr>
          <w:rFonts w:hint="eastAsia" w:ascii="Times New Roman" w:hAnsi="Times New Roman" w:cs="宋体"/>
          <w:sz w:val="24"/>
          <w:highlight w:val="none"/>
        </w:rPr>
        <w:t>供应商开户行：</w:t>
      </w:r>
    </w:p>
    <w:p w14:paraId="7FB7A875">
      <w:pPr>
        <w:spacing w:line="520" w:lineRule="exact"/>
        <w:ind w:firstLine="480"/>
        <w:jc w:val="left"/>
        <w:rPr>
          <w:rFonts w:ascii="Times New Roman" w:hAnsi="Times New Roman" w:cs="宋体"/>
          <w:sz w:val="24"/>
          <w:highlight w:val="none"/>
        </w:rPr>
      </w:pPr>
      <w:r>
        <w:rPr>
          <w:rFonts w:hint="eastAsia" w:ascii="Times New Roman" w:hAnsi="Times New Roman" w:cs="宋体"/>
          <w:sz w:val="24"/>
          <w:highlight w:val="none"/>
        </w:rPr>
        <w:t xml:space="preserve">账   号： </w:t>
      </w:r>
    </w:p>
    <w:p w14:paraId="6669E52F">
      <w:pPr>
        <w:spacing w:line="520" w:lineRule="exact"/>
        <w:ind w:firstLine="480"/>
        <w:jc w:val="left"/>
        <w:rPr>
          <w:rFonts w:hint="eastAsia" w:ascii="Times New Roman" w:hAnsi="Times New Roman" w:cs="宋体"/>
          <w:sz w:val="24"/>
          <w:highlight w:val="none"/>
        </w:rPr>
      </w:pPr>
      <w:r>
        <w:rPr>
          <w:rFonts w:hint="eastAsia" w:ascii="Times New Roman" w:hAnsi="Times New Roman" w:cs="宋体"/>
          <w:sz w:val="24"/>
          <w:highlight w:val="none"/>
        </w:rPr>
        <w:t>日   期：______年____月____日</w:t>
      </w:r>
    </w:p>
    <w:p w14:paraId="010A16B2">
      <w:pPr>
        <w:pStyle w:val="21"/>
        <w:rPr>
          <w:rFonts w:hint="eastAsia" w:ascii="Times New Roman" w:hAnsi="Times New Roman" w:cs="宋体"/>
          <w:sz w:val="24"/>
          <w:highlight w:val="none"/>
        </w:rPr>
      </w:pPr>
    </w:p>
    <w:p w14:paraId="18F28E69">
      <w:pPr>
        <w:pStyle w:val="21"/>
        <w:rPr>
          <w:rFonts w:hint="eastAsia" w:ascii="Times New Roman" w:hAnsi="Times New Roman" w:cs="宋体"/>
          <w:sz w:val="24"/>
          <w:highlight w:val="none"/>
        </w:rPr>
      </w:pPr>
    </w:p>
    <w:p w14:paraId="420A4547">
      <w:pPr>
        <w:pStyle w:val="21"/>
        <w:rPr>
          <w:rFonts w:hint="eastAsia" w:ascii="Times New Roman" w:hAnsi="Times New Roman" w:cs="宋体"/>
          <w:sz w:val="24"/>
          <w:highlight w:val="none"/>
        </w:rPr>
      </w:pPr>
    </w:p>
    <w:p w14:paraId="737273A3">
      <w:pPr>
        <w:spacing w:line="520" w:lineRule="exact"/>
        <w:ind w:firstLine="480"/>
        <w:jc w:val="center"/>
        <w:rPr>
          <w:rFonts w:ascii="Times New Roman" w:hAnsi="Times New Roman" w:eastAsia="黑体" w:cs="黑体"/>
          <w:b/>
          <w:i/>
          <w:color w:val="000000"/>
          <w:sz w:val="32"/>
          <w:szCs w:val="32"/>
          <w:highlight w:val="none"/>
          <w:u w:val="single"/>
        </w:rPr>
      </w:pPr>
      <w:r>
        <w:rPr>
          <w:rFonts w:hint="eastAsia" w:ascii="Times New Roman" w:hAnsi="Times New Roman" w:eastAsia="黑体" w:cs="黑体"/>
          <w:b/>
          <w:i/>
          <w:color w:val="000000"/>
          <w:sz w:val="32"/>
          <w:szCs w:val="32"/>
          <w:highlight w:val="none"/>
          <w:u w:val="single"/>
        </w:rPr>
        <w:t>五、开标一览表</w:t>
      </w:r>
    </w:p>
    <w:p w14:paraId="5D833DF2">
      <w:pPr>
        <w:widowControl/>
        <w:wordWrap w:val="0"/>
        <w:spacing w:line="440" w:lineRule="exact"/>
        <w:rPr>
          <w:rFonts w:ascii="Times New Roman" w:hAnsi="Times New Roman" w:eastAsia="宋体" w:cs="宋体"/>
          <w:kern w:val="0"/>
          <w:sz w:val="28"/>
          <w:szCs w:val="28"/>
          <w:highlight w:val="none"/>
        </w:rPr>
      </w:pPr>
    </w:p>
    <w:tbl>
      <w:tblPr>
        <w:tblStyle w:val="16"/>
        <w:tblW w:w="9494" w:type="dxa"/>
        <w:tblInd w:w="-25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334"/>
        <w:gridCol w:w="7160"/>
      </w:tblGrid>
      <w:tr w14:paraId="29CEFB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Height w:val="710" w:hRule="atLeast"/>
        </w:trPr>
        <w:tc>
          <w:tcPr>
            <w:tcW w:w="2334" w:type="dxa"/>
            <w:tcBorders>
              <w:top w:val="single" w:color="auto" w:sz="4" w:space="0"/>
              <w:left w:val="single" w:color="auto" w:sz="4" w:space="0"/>
              <w:bottom w:val="single" w:color="auto" w:sz="4" w:space="0"/>
              <w:right w:val="single" w:color="auto" w:sz="4" w:space="0"/>
            </w:tcBorders>
            <w:vAlign w:val="center"/>
          </w:tcPr>
          <w:p w14:paraId="7A528581">
            <w:pPr>
              <w:widowControl/>
              <w:wordWrap w:val="0"/>
              <w:spacing w:line="240" w:lineRule="auto"/>
              <w:ind w:firstLine="420"/>
              <w:rPr>
                <w:rFonts w:hint="eastAsia" w:ascii="Times New Roman" w:hAnsi="Times New Roman" w:eastAsia="宋体" w:cs="宋体"/>
                <w:kern w:val="0"/>
                <w:sz w:val="24"/>
                <w:highlight w:val="none"/>
              </w:rPr>
            </w:pPr>
            <w:r>
              <w:rPr>
                <w:rFonts w:hint="eastAsia" w:ascii="Times New Roman" w:hAnsi="Times New Roman" w:eastAsia="宋体" w:cs="宋体"/>
                <w:kern w:val="0"/>
                <w:sz w:val="24"/>
                <w:highlight w:val="none"/>
              </w:rPr>
              <w:t>项目编号</w:t>
            </w:r>
          </w:p>
        </w:tc>
        <w:tc>
          <w:tcPr>
            <w:tcW w:w="7160" w:type="dxa"/>
            <w:tcBorders>
              <w:top w:val="single" w:color="auto" w:sz="4" w:space="0"/>
              <w:left w:val="single" w:color="auto" w:sz="4" w:space="0"/>
              <w:bottom w:val="single" w:color="auto" w:sz="4" w:space="0"/>
              <w:right w:val="single" w:color="auto" w:sz="4" w:space="0"/>
            </w:tcBorders>
            <w:vAlign w:val="center"/>
          </w:tcPr>
          <w:p w14:paraId="41AB4C74">
            <w:pPr>
              <w:widowControl/>
              <w:wordWrap w:val="0"/>
              <w:spacing w:line="240" w:lineRule="auto"/>
              <w:rPr>
                <w:rFonts w:hint="eastAsia" w:ascii="Times New Roman" w:hAnsi="Times New Roman" w:cs="宋体" w:eastAsiaTheme="minorEastAsia"/>
                <w:kern w:val="0"/>
                <w:sz w:val="24"/>
                <w:highlight w:val="none"/>
                <w:lang w:eastAsia="zh-CN"/>
              </w:rPr>
            </w:pPr>
            <w:r>
              <w:rPr>
                <w:rFonts w:hint="eastAsia" w:ascii="Times New Roman" w:hAnsi="Times New Roman" w:cs="宋体"/>
                <w:sz w:val="24"/>
                <w:highlight w:val="none"/>
              </w:rPr>
              <w:t>YCYZ2024</w:t>
            </w:r>
            <w:r>
              <w:rPr>
                <w:rFonts w:hint="eastAsia" w:ascii="Times New Roman" w:hAnsi="Times New Roman" w:cs="宋体"/>
                <w:sz w:val="24"/>
                <w:highlight w:val="none"/>
                <w:lang w:val="en-US" w:eastAsia="zh-CN"/>
              </w:rPr>
              <w:t>HW</w:t>
            </w:r>
            <w:r>
              <w:rPr>
                <w:rFonts w:hint="eastAsia" w:ascii="Times New Roman" w:hAnsi="Times New Roman" w:cs="宋体"/>
                <w:sz w:val="24"/>
                <w:highlight w:val="none"/>
                <w:lang w:eastAsia="zh-CN"/>
              </w:rPr>
              <w:t>00</w:t>
            </w:r>
            <w:r>
              <w:rPr>
                <w:rFonts w:hint="eastAsia" w:ascii="Times New Roman" w:hAnsi="Times New Roman" w:cs="宋体"/>
                <w:sz w:val="24"/>
                <w:highlight w:val="none"/>
                <w:lang w:val="en-US" w:eastAsia="zh-CN"/>
              </w:rPr>
              <w:t>1</w:t>
            </w:r>
          </w:p>
        </w:tc>
      </w:tr>
      <w:tr w14:paraId="180001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789" w:hRule="atLeast"/>
        </w:trPr>
        <w:tc>
          <w:tcPr>
            <w:tcW w:w="2334" w:type="dxa"/>
            <w:tcBorders>
              <w:top w:val="single" w:color="auto" w:sz="4" w:space="0"/>
              <w:left w:val="single" w:color="auto" w:sz="4" w:space="0"/>
              <w:bottom w:val="single" w:color="auto" w:sz="4" w:space="0"/>
              <w:right w:val="single" w:color="auto" w:sz="4" w:space="0"/>
            </w:tcBorders>
            <w:vAlign w:val="center"/>
          </w:tcPr>
          <w:p w14:paraId="46D05A06">
            <w:pPr>
              <w:widowControl/>
              <w:wordWrap w:val="0"/>
              <w:spacing w:line="240" w:lineRule="auto"/>
              <w:ind w:firstLine="420"/>
              <w:rPr>
                <w:rFonts w:ascii="Times New Roman" w:hAnsi="Times New Roman" w:eastAsia="宋体" w:cs="宋体"/>
                <w:kern w:val="0"/>
                <w:sz w:val="24"/>
                <w:highlight w:val="none"/>
              </w:rPr>
            </w:pPr>
            <w:r>
              <w:rPr>
                <w:rFonts w:hint="eastAsia" w:ascii="Times New Roman" w:hAnsi="Times New Roman" w:eastAsia="宋体" w:cs="宋体"/>
                <w:kern w:val="0"/>
                <w:sz w:val="24"/>
                <w:highlight w:val="none"/>
              </w:rPr>
              <w:t>项目名称</w:t>
            </w:r>
          </w:p>
        </w:tc>
        <w:tc>
          <w:tcPr>
            <w:tcW w:w="7160" w:type="dxa"/>
            <w:tcBorders>
              <w:top w:val="single" w:color="auto" w:sz="4" w:space="0"/>
              <w:left w:val="single" w:color="auto" w:sz="4" w:space="0"/>
              <w:bottom w:val="single" w:color="auto" w:sz="4" w:space="0"/>
              <w:right w:val="single" w:color="auto" w:sz="4" w:space="0"/>
            </w:tcBorders>
            <w:vAlign w:val="center"/>
          </w:tcPr>
          <w:p w14:paraId="0851B39E">
            <w:pPr>
              <w:widowControl/>
              <w:wordWrap w:val="0"/>
              <w:spacing w:line="240" w:lineRule="auto"/>
              <w:rPr>
                <w:rFonts w:hint="eastAsia" w:ascii="Times New Roman" w:hAnsi="Times New Roman" w:eastAsia="宋体" w:cs="宋体"/>
                <w:b/>
                <w:kern w:val="0"/>
                <w:sz w:val="24"/>
                <w:highlight w:val="none"/>
                <w:lang w:eastAsia="zh-CN"/>
              </w:rPr>
            </w:pPr>
            <w:r>
              <w:rPr>
                <w:rFonts w:hint="eastAsia" w:ascii="Times New Roman" w:hAnsi="Times New Roman" w:eastAsia="宋体" w:cs="宋体"/>
                <w:kern w:val="0"/>
                <w:sz w:val="24"/>
                <w:highlight w:val="none"/>
              </w:rPr>
              <w:t>盐城幼儿师范高等专科学校</w:t>
            </w:r>
            <w:r>
              <w:rPr>
                <w:rFonts w:hint="eastAsia" w:ascii="Times New Roman" w:hAnsi="Times New Roman" w:eastAsia="宋体" w:cs="宋体"/>
                <w:kern w:val="0"/>
                <w:sz w:val="24"/>
                <w:highlight w:val="none"/>
                <w:lang w:eastAsia="zh-CN"/>
              </w:rPr>
              <w:t>艺术中心音乐教室、公共教室、钢琴教室窗帘采购安装项目</w:t>
            </w:r>
          </w:p>
        </w:tc>
      </w:tr>
      <w:tr w14:paraId="77E1EF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901" w:hRule="atLeast"/>
        </w:trPr>
        <w:tc>
          <w:tcPr>
            <w:tcW w:w="9494" w:type="dxa"/>
            <w:gridSpan w:val="2"/>
            <w:tcBorders>
              <w:top w:val="single" w:color="auto" w:sz="4" w:space="0"/>
              <w:left w:val="single" w:color="auto" w:sz="4" w:space="0"/>
              <w:bottom w:val="single" w:color="auto" w:sz="4" w:space="0"/>
              <w:right w:val="single" w:color="auto" w:sz="4" w:space="0"/>
            </w:tcBorders>
            <w:vAlign w:val="center"/>
          </w:tcPr>
          <w:p w14:paraId="04839F17">
            <w:pPr>
              <w:autoSpaceDE w:val="0"/>
              <w:autoSpaceDN w:val="0"/>
              <w:adjustRightInd w:val="0"/>
              <w:spacing w:line="240" w:lineRule="auto"/>
              <w:rPr>
                <w:rFonts w:hint="eastAsia" w:ascii="Times New Roman" w:hAnsi="Times New Roman" w:eastAsia="宋体" w:cs="宋体"/>
                <w:b/>
                <w:bCs/>
                <w:sz w:val="24"/>
                <w:highlight w:val="none"/>
                <w:u w:val="single"/>
              </w:rPr>
            </w:pPr>
            <w:r>
              <w:rPr>
                <w:rFonts w:hint="eastAsia" w:ascii="Times New Roman" w:hAnsi="Times New Roman" w:eastAsia="宋体" w:cs="宋体"/>
                <w:b/>
                <w:bCs/>
                <w:sz w:val="24"/>
                <w:highlight w:val="none"/>
                <w:lang w:val="zh-CN"/>
              </w:rPr>
              <w:t>投标报价：（</w:t>
            </w:r>
            <w:r>
              <w:rPr>
                <w:rFonts w:hint="eastAsia" w:ascii="Times New Roman" w:hAnsi="Times New Roman" w:eastAsia="宋体" w:cs="宋体"/>
                <w:b/>
                <w:bCs/>
                <w:sz w:val="24"/>
                <w:highlight w:val="none"/>
              </w:rPr>
              <w:t>RMB</w:t>
            </w:r>
            <w:r>
              <w:rPr>
                <w:rFonts w:hint="eastAsia" w:ascii="Times New Roman" w:hAnsi="Times New Roman" w:eastAsia="宋体" w:cs="宋体"/>
                <w:b/>
                <w:bCs/>
                <w:sz w:val="24"/>
                <w:highlight w:val="none"/>
                <w:lang w:val="zh-CN"/>
              </w:rPr>
              <w:t>） 大写</w:t>
            </w:r>
            <w:r>
              <w:rPr>
                <w:rFonts w:hint="eastAsia" w:ascii="Times New Roman" w:hAnsi="Times New Roman" w:eastAsia="宋体" w:cs="宋体"/>
                <w:b/>
                <w:bCs/>
                <w:sz w:val="24"/>
                <w:highlight w:val="none"/>
                <w:u w:val="single"/>
                <w:lang w:val="zh-CN"/>
              </w:rPr>
              <w:t xml:space="preserve">                      </w:t>
            </w:r>
            <w:r>
              <w:rPr>
                <w:rFonts w:hint="eastAsia" w:ascii="Times New Roman" w:hAnsi="Times New Roman" w:eastAsia="宋体" w:cs="宋体"/>
                <w:b/>
                <w:bCs/>
                <w:sz w:val="24"/>
                <w:highlight w:val="none"/>
                <w:lang w:val="zh-CN"/>
              </w:rPr>
              <w:t>，小写：</w:t>
            </w:r>
            <w:r>
              <w:rPr>
                <w:rFonts w:hint="eastAsia" w:ascii="Times New Roman" w:hAnsi="Times New Roman" w:eastAsia="宋体" w:cs="宋体"/>
                <w:b/>
                <w:bCs/>
                <w:sz w:val="24"/>
                <w:highlight w:val="none"/>
              </w:rPr>
              <w:t>￥</w:t>
            </w:r>
            <w:r>
              <w:rPr>
                <w:rFonts w:hint="eastAsia" w:ascii="Times New Roman" w:hAnsi="Times New Roman" w:eastAsia="宋体" w:cs="宋体"/>
                <w:b/>
                <w:bCs/>
                <w:sz w:val="24"/>
                <w:highlight w:val="none"/>
                <w:u w:val="single"/>
                <w:lang w:val="zh-CN"/>
              </w:rPr>
              <w:t xml:space="preserve">                </w:t>
            </w:r>
            <w:r>
              <w:rPr>
                <w:rFonts w:hint="eastAsia" w:ascii="Times New Roman" w:hAnsi="Times New Roman" w:eastAsia="宋体" w:cs="宋体"/>
                <w:b/>
                <w:bCs/>
                <w:sz w:val="24"/>
                <w:highlight w:val="none"/>
                <w:u w:val="single"/>
              </w:rPr>
              <w:t>元</w:t>
            </w:r>
          </w:p>
          <w:p w14:paraId="2712AAD7">
            <w:pPr>
              <w:autoSpaceDE w:val="0"/>
              <w:autoSpaceDN w:val="0"/>
              <w:adjustRightInd w:val="0"/>
              <w:spacing w:line="240" w:lineRule="auto"/>
              <w:rPr>
                <w:rFonts w:hint="default" w:ascii="Times New Roman" w:hAnsi="Times New Roman" w:eastAsia="宋体" w:cs="宋体"/>
                <w:b/>
                <w:bCs/>
                <w:sz w:val="24"/>
                <w:highlight w:val="none"/>
                <w:u w:val="single"/>
                <w:lang w:val="en-US" w:eastAsia="zh-CN"/>
              </w:rPr>
            </w:pPr>
            <w:r>
              <w:rPr>
                <w:rFonts w:hint="eastAsia" w:ascii="Times New Roman" w:hAnsi="Times New Roman" w:eastAsia="宋体" w:cs="宋体"/>
                <w:b/>
                <w:bCs/>
                <w:sz w:val="24"/>
                <w:highlight w:val="none"/>
                <w:u w:val="none"/>
                <w:lang w:val="en-US" w:eastAsia="zh-CN"/>
              </w:rPr>
              <w:t>（投标报价保留至小数点后两位）</w:t>
            </w:r>
          </w:p>
        </w:tc>
      </w:tr>
      <w:tr w14:paraId="7E30B6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901" w:hRule="atLeast"/>
        </w:trPr>
        <w:tc>
          <w:tcPr>
            <w:tcW w:w="9494" w:type="dxa"/>
            <w:gridSpan w:val="2"/>
            <w:tcBorders>
              <w:top w:val="single" w:color="auto" w:sz="4" w:space="0"/>
              <w:left w:val="single" w:color="auto" w:sz="4" w:space="0"/>
              <w:bottom w:val="single" w:color="auto" w:sz="4" w:space="0"/>
              <w:right w:val="single" w:color="auto" w:sz="4" w:space="0"/>
            </w:tcBorders>
            <w:vAlign w:val="center"/>
          </w:tcPr>
          <w:p w14:paraId="582D7734">
            <w:pPr>
              <w:autoSpaceDE w:val="0"/>
              <w:autoSpaceDN w:val="0"/>
              <w:adjustRightInd w:val="0"/>
              <w:spacing w:line="240" w:lineRule="auto"/>
              <w:rPr>
                <w:rFonts w:hint="default" w:ascii="Times New Roman" w:hAnsi="Times New Roman" w:eastAsia="宋体" w:cs="宋体"/>
                <w:b/>
                <w:bCs/>
                <w:sz w:val="24"/>
                <w:highlight w:val="none"/>
                <w:u w:val="none"/>
                <w:lang w:val="en-US" w:eastAsia="zh-CN"/>
              </w:rPr>
            </w:pPr>
            <w:r>
              <w:rPr>
                <w:rFonts w:hint="eastAsia" w:ascii="Times New Roman" w:hAnsi="Times New Roman" w:eastAsia="宋体" w:cs="宋体"/>
                <w:b/>
                <w:bCs/>
                <w:sz w:val="24"/>
                <w:highlight w:val="none"/>
                <w:u w:val="none"/>
                <w:lang w:val="en-US" w:eastAsia="zh-CN"/>
              </w:rPr>
              <w:t>项目负责人：                  联系电话：</w:t>
            </w:r>
          </w:p>
        </w:tc>
      </w:tr>
      <w:tr w14:paraId="2326C6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897" w:hRule="atLeast"/>
        </w:trPr>
        <w:tc>
          <w:tcPr>
            <w:tcW w:w="9494" w:type="dxa"/>
            <w:gridSpan w:val="2"/>
            <w:tcBorders>
              <w:top w:val="single" w:color="auto" w:sz="4" w:space="0"/>
              <w:left w:val="single" w:color="auto" w:sz="4" w:space="0"/>
              <w:bottom w:val="single" w:color="auto" w:sz="4" w:space="0"/>
              <w:right w:val="single" w:color="auto" w:sz="4" w:space="0"/>
            </w:tcBorders>
            <w:vAlign w:val="center"/>
          </w:tcPr>
          <w:p w14:paraId="12BDCFE2">
            <w:pPr>
              <w:spacing w:line="240" w:lineRule="auto"/>
              <w:rPr>
                <w:rFonts w:ascii="Times New Roman" w:hAnsi="Times New Roman" w:eastAsia="宋体" w:cs="宋体"/>
                <w:b/>
                <w:kern w:val="0"/>
                <w:sz w:val="24"/>
                <w:highlight w:val="none"/>
              </w:rPr>
            </w:pPr>
            <w:r>
              <w:rPr>
                <w:rFonts w:hint="eastAsia" w:ascii="Times New Roman" w:hAnsi="Times New Roman" w:eastAsia="宋体" w:cs="宋体"/>
                <w:sz w:val="24"/>
                <w:highlight w:val="none"/>
              </w:rPr>
              <w:t xml:space="preserve">供货期限：合同签订之日起 </w:t>
            </w:r>
            <w:r>
              <w:rPr>
                <w:rFonts w:hint="eastAsia" w:ascii="Times New Roman" w:hAnsi="Times New Roman" w:eastAsia="宋体" w:cs="宋体"/>
                <w:sz w:val="24"/>
                <w:highlight w:val="none"/>
                <w:u w:val="single"/>
              </w:rPr>
              <w:t xml:space="preserve">  </w:t>
            </w:r>
            <w:r>
              <w:rPr>
                <w:rFonts w:hint="eastAsia" w:ascii="Times New Roman" w:hAnsi="Times New Roman" w:eastAsia="宋体" w:cs="宋体"/>
                <w:sz w:val="24"/>
                <w:highlight w:val="none"/>
                <w:u w:val="single"/>
                <w:lang w:val="en-US" w:eastAsia="zh-CN"/>
              </w:rPr>
              <w:t>20</w:t>
            </w:r>
            <w:r>
              <w:rPr>
                <w:rFonts w:hint="eastAsia" w:ascii="Times New Roman" w:hAnsi="Times New Roman" w:eastAsia="宋体" w:cs="宋体"/>
                <w:sz w:val="24"/>
                <w:highlight w:val="none"/>
                <w:u w:val="single"/>
              </w:rPr>
              <w:t xml:space="preserve">  </w:t>
            </w:r>
            <w:r>
              <w:rPr>
                <w:rFonts w:hint="eastAsia" w:ascii="Times New Roman" w:hAnsi="Times New Roman" w:eastAsia="宋体" w:cs="宋体"/>
                <w:sz w:val="24"/>
                <w:highlight w:val="none"/>
              </w:rPr>
              <w:t>日历天内完成供货及</w:t>
            </w:r>
            <w:r>
              <w:rPr>
                <w:rFonts w:hint="eastAsia" w:ascii="Times New Roman" w:hAnsi="Times New Roman" w:eastAsia="宋体" w:cs="宋体"/>
                <w:sz w:val="24"/>
                <w:highlight w:val="none"/>
                <w:lang w:val="en-US" w:eastAsia="zh-CN"/>
              </w:rPr>
              <w:t>安装</w:t>
            </w:r>
            <w:r>
              <w:rPr>
                <w:rFonts w:hint="eastAsia" w:ascii="Times New Roman" w:hAnsi="Times New Roman" w:eastAsia="宋体" w:cs="宋体"/>
                <w:sz w:val="24"/>
                <w:highlight w:val="none"/>
              </w:rPr>
              <w:t>，并通过采购人验收。</w:t>
            </w:r>
          </w:p>
        </w:tc>
      </w:tr>
      <w:tr w14:paraId="20307B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897" w:hRule="atLeast"/>
        </w:trPr>
        <w:tc>
          <w:tcPr>
            <w:tcW w:w="9494" w:type="dxa"/>
            <w:gridSpan w:val="2"/>
            <w:tcBorders>
              <w:top w:val="single" w:color="auto" w:sz="4" w:space="0"/>
              <w:left w:val="single" w:color="auto" w:sz="4" w:space="0"/>
              <w:bottom w:val="single" w:color="auto" w:sz="4" w:space="0"/>
              <w:right w:val="single" w:color="auto" w:sz="4" w:space="0"/>
            </w:tcBorders>
            <w:vAlign w:val="center"/>
          </w:tcPr>
          <w:p w14:paraId="020A63CB">
            <w:pPr>
              <w:widowControl/>
              <w:tabs>
                <w:tab w:val="left" w:pos="900"/>
              </w:tabs>
              <w:spacing w:line="240" w:lineRule="auto"/>
              <w:jc w:val="left"/>
              <w:rPr>
                <w:rFonts w:hint="default" w:ascii="Times New Roman" w:hAnsi="Times New Roman" w:eastAsia="宋体" w:cs="宋体"/>
                <w:b/>
                <w:kern w:val="0"/>
                <w:sz w:val="24"/>
                <w:highlight w:val="none"/>
                <w:u w:val="single"/>
                <w:lang w:val="en-US" w:eastAsia="zh-CN"/>
              </w:rPr>
            </w:pPr>
            <w:r>
              <w:rPr>
                <w:rFonts w:hint="eastAsia" w:ascii="Times New Roman" w:hAnsi="Times New Roman" w:eastAsia="宋体" w:cs="宋体"/>
                <w:b w:val="0"/>
                <w:bCs/>
                <w:kern w:val="0"/>
                <w:sz w:val="24"/>
                <w:highlight w:val="none"/>
                <w:u w:val="none"/>
                <w:lang w:val="en-US" w:eastAsia="zh-CN"/>
              </w:rPr>
              <w:t>质量：合格</w:t>
            </w:r>
          </w:p>
        </w:tc>
      </w:tr>
    </w:tbl>
    <w:p w14:paraId="4C87175A">
      <w:pPr>
        <w:spacing w:line="520" w:lineRule="exact"/>
        <w:jc w:val="left"/>
        <w:rPr>
          <w:rFonts w:hint="eastAsia" w:ascii="Times New Roman" w:hAnsi="Times New Roman" w:cs="宋体"/>
          <w:sz w:val="24"/>
          <w:highlight w:val="none"/>
        </w:rPr>
      </w:pPr>
      <w:r>
        <w:rPr>
          <w:rFonts w:hint="eastAsia" w:ascii="Times New Roman" w:hAnsi="Times New Roman" w:cs="宋体"/>
          <w:sz w:val="24"/>
          <w:highlight w:val="none"/>
        </w:rPr>
        <w:t>填写说明：</w:t>
      </w:r>
    </w:p>
    <w:p w14:paraId="18109ACB">
      <w:pPr>
        <w:spacing w:line="520" w:lineRule="exact"/>
        <w:ind w:firstLine="480"/>
        <w:jc w:val="left"/>
        <w:rPr>
          <w:rFonts w:hint="eastAsia" w:ascii="Times New Roman" w:hAnsi="Times New Roman" w:cs="宋体"/>
          <w:sz w:val="24"/>
          <w:highlight w:val="none"/>
        </w:rPr>
      </w:pPr>
      <w:r>
        <w:rPr>
          <w:rFonts w:hint="eastAsia" w:ascii="Times New Roman" w:hAnsi="Times New Roman" w:cs="宋体"/>
          <w:sz w:val="24"/>
          <w:highlight w:val="none"/>
          <w:lang w:val="en-US" w:eastAsia="zh-CN"/>
        </w:rPr>
        <w:t>1、</w:t>
      </w:r>
      <w:r>
        <w:rPr>
          <w:rFonts w:hint="eastAsia" w:ascii="Times New Roman" w:hAnsi="Times New Roman" w:cs="宋体"/>
          <w:sz w:val="24"/>
          <w:highlight w:val="none"/>
        </w:rPr>
        <w:t>开标一览表不得填报选择性报价，否则将作为无效投标；</w:t>
      </w:r>
    </w:p>
    <w:p w14:paraId="00C04DE7">
      <w:pPr>
        <w:spacing w:line="520" w:lineRule="exact"/>
        <w:ind w:firstLine="480"/>
        <w:jc w:val="left"/>
        <w:rPr>
          <w:rFonts w:hint="eastAsia" w:ascii="Times New Roman" w:hAnsi="Times New Roman" w:cs="宋体"/>
          <w:sz w:val="24"/>
          <w:highlight w:val="none"/>
        </w:rPr>
      </w:pPr>
      <w:r>
        <w:rPr>
          <w:rFonts w:hint="eastAsia" w:ascii="Times New Roman" w:hAnsi="Times New Roman" w:cs="宋体"/>
          <w:sz w:val="24"/>
          <w:highlight w:val="none"/>
          <w:lang w:val="en-US" w:eastAsia="zh-CN"/>
        </w:rPr>
        <w:t>2、开标一览表价格与分项报价表不一致时，以开标一览表为准。</w:t>
      </w:r>
    </w:p>
    <w:p w14:paraId="24113DCD">
      <w:pPr>
        <w:spacing w:line="520" w:lineRule="exact"/>
        <w:ind w:firstLine="480"/>
        <w:jc w:val="left"/>
        <w:rPr>
          <w:rFonts w:hint="eastAsia" w:ascii="Times New Roman" w:hAnsi="Times New Roman" w:cs="宋体"/>
          <w:sz w:val="24"/>
          <w:highlight w:val="none"/>
        </w:rPr>
      </w:pPr>
      <w:r>
        <w:rPr>
          <w:rFonts w:hint="eastAsia" w:ascii="Times New Roman" w:hAnsi="Times New Roman" w:cs="宋体"/>
          <w:sz w:val="24"/>
          <w:highlight w:val="none"/>
          <w:lang w:val="en-US" w:eastAsia="zh-CN"/>
        </w:rPr>
        <w:t>3</w:t>
      </w:r>
      <w:r>
        <w:rPr>
          <w:rFonts w:hint="eastAsia" w:ascii="Times New Roman" w:hAnsi="Times New Roman" w:cs="宋体"/>
          <w:sz w:val="24"/>
          <w:highlight w:val="none"/>
        </w:rPr>
        <w:t>、本项目采用“全费用</w:t>
      </w:r>
      <w:r>
        <w:rPr>
          <w:rFonts w:hint="eastAsia" w:ascii="Times New Roman" w:hAnsi="Times New Roman" w:cs="宋体"/>
          <w:sz w:val="24"/>
          <w:highlight w:val="none"/>
          <w:lang w:val="en-US" w:eastAsia="zh-CN"/>
        </w:rPr>
        <w:t>综合</w:t>
      </w:r>
      <w:r>
        <w:rPr>
          <w:rFonts w:hint="eastAsia" w:ascii="Times New Roman" w:hAnsi="Times New Roman" w:cs="宋体"/>
          <w:sz w:val="24"/>
          <w:highlight w:val="none"/>
        </w:rPr>
        <w:t>单价”报价，投标报价是指为完成招标文件（含采购清单）确定的采购范围内的所有工作内容的全部费用。价格组成包括（但不限于）：</w:t>
      </w:r>
      <w:r>
        <w:rPr>
          <w:rFonts w:hint="eastAsia" w:ascii="Times New Roman" w:hAnsi="Times New Roman" w:cs="宋体"/>
          <w:sz w:val="24"/>
          <w:highlight w:val="none"/>
          <w:lang w:val="en-US" w:eastAsia="zh-CN"/>
        </w:rPr>
        <w:t>所有</w:t>
      </w:r>
      <w:r>
        <w:rPr>
          <w:rFonts w:hint="eastAsia" w:ascii="Times New Roman" w:hAnsi="Times New Roman" w:cs="宋体"/>
          <w:sz w:val="24"/>
          <w:highlight w:val="none"/>
        </w:rPr>
        <w:t>货物采购</w:t>
      </w:r>
      <w:r>
        <w:rPr>
          <w:rFonts w:hint="eastAsia" w:ascii="Times New Roman" w:hAnsi="Times New Roman" w:cs="宋体"/>
          <w:sz w:val="24"/>
          <w:highlight w:val="none"/>
          <w:lang w:eastAsia="zh-CN"/>
        </w:rPr>
        <w:t>（</w:t>
      </w:r>
      <w:r>
        <w:rPr>
          <w:rFonts w:hint="eastAsia" w:ascii="Times New Roman" w:hAnsi="Times New Roman" w:cs="宋体"/>
          <w:sz w:val="24"/>
          <w:highlight w:val="none"/>
          <w:lang w:val="en-US" w:eastAsia="zh-CN"/>
        </w:rPr>
        <w:t>含辅材</w:t>
      </w:r>
      <w:r>
        <w:rPr>
          <w:rFonts w:hint="eastAsia" w:ascii="Times New Roman" w:hAnsi="Times New Roman" w:cs="宋体"/>
          <w:sz w:val="24"/>
          <w:highlight w:val="none"/>
          <w:lang w:eastAsia="zh-CN"/>
        </w:rPr>
        <w:t>）</w:t>
      </w:r>
      <w:r>
        <w:rPr>
          <w:rFonts w:hint="eastAsia" w:ascii="Times New Roman" w:hAnsi="Times New Roman" w:cs="宋体"/>
          <w:sz w:val="24"/>
          <w:highlight w:val="none"/>
        </w:rPr>
        <w:t>、</w:t>
      </w:r>
      <w:r>
        <w:rPr>
          <w:rFonts w:hint="eastAsia" w:ascii="Times New Roman" w:hAnsi="Times New Roman" w:cs="宋体"/>
          <w:sz w:val="24"/>
          <w:highlight w:val="none"/>
          <w:lang w:val="en-US" w:eastAsia="zh-CN"/>
        </w:rPr>
        <w:t>加工、</w:t>
      </w:r>
      <w:r>
        <w:rPr>
          <w:rFonts w:hint="eastAsia" w:ascii="Times New Roman" w:hAnsi="Times New Roman" w:cs="宋体"/>
          <w:sz w:val="24"/>
          <w:highlight w:val="none"/>
        </w:rPr>
        <w:t>包装</w:t>
      </w:r>
      <w:r>
        <w:rPr>
          <w:rFonts w:hint="eastAsia" w:ascii="Times New Roman" w:hAnsi="Times New Roman" w:cs="宋体"/>
          <w:sz w:val="24"/>
          <w:highlight w:val="none"/>
          <w:lang w:eastAsia="zh-CN"/>
        </w:rPr>
        <w:t>、</w:t>
      </w:r>
      <w:r>
        <w:rPr>
          <w:rFonts w:hint="eastAsia" w:ascii="Times New Roman" w:hAnsi="Times New Roman" w:cs="宋体"/>
          <w:sz w:val="24"/>
          <w:highlight w:val="none"/>
        </w:rPr>
        <w:t>供应（含备品备件、专用工具等）、运输、安装（含辅材）、管理费、利润、税金、验收</w:t>
      </w:r>
      <w:r>
        <w:rPr>
          <w:rFonts w:hint="eastAsia" w:ascii="Times New Roman" w:hAnsi="Times New Roman" w:cs="宋体"/>
          <w:sz w:val="24"/>
          <w:highlight w:val="none"/>
          <w:lang w:eastAsia="zh-CN"/>
        </w:rPr>
        <w:t>、</w:t>
      </w:r>
      <w:r>
        <w:rPr>
          <w:rFonts w:hint="eastAsia" w:ascii="Times New Roman" w:hAnsi="Times New Roman" w:cs="宋体"/>
          <w:sz w:val="24"/>
          <w:highlight w:val="none"/>
        </w:rPr>
        <w:t>合同期内的市场风险及国家政策性调整风险、不可预见费和售后等相关伴随服务而涵盖的所有费用。凡漏项或少计均视为优惠，甲方不另行增加费用。</w:t>
      </w:r>
    </w:p>
    <w:p w14:paraId="4D506544">
      <w:pPr>
        <w:spacing w:line="480" w:lineRule="exact"/>
        <w:jc w:val="left"/>
        <w:rPr>
          <w:rFonts w:ascii="Times New Roman" w:hAnsi="Times New Roman" w:cs="宋体"/>
          <w:b/>
          <w:sz w:val="21"/>
          <w:szCs w:val="21"/>
          <w:highlight w:val="none"/>
        </w:rPr>
      </w:pPr>
      <w:r>
        <w:rPr>
          <w:rFonts w:hint="eastAsia" w:ascii="Times New Roman" w:hAnsi="Times New Roman" w:cs="宋体"/>
          <w:b/>
          <w:sz w:val="21"/>
          <w:szCs w:val="21"/>
          <w:highlight w:val="none"/>
        </w:rPr>
        <w:t>特别说明：凡以上所涉标准（要求）提及同一指标时，按最高标准（要求）执行。</w:t>
      </w:r>
    </w:p>
    <w:p w14:paraId="22338691">
      <w:pPr>
        <w:spacing w:line="360" w:lineRule="auto"/>
        <w:contextualSpacing/>
        <w:rPr>
          <w:rFonts w:ascii="Times New Roman" w:hAnsi="Times New Roman" w:eastAsia="宋体" w:cs="宋体"/>
          <w:highlight w:val="none"/>
        </w:rPr>
      </w:pPr>
    </w:p>
    <w:p w14:paraId="6539D031">
      <w:pPr>
        <w:widowControl/>
        <w:wordWrap w:val="0"/>
        <w:spacing w:line="440" w:lineRule="exact"/>
        <w:ind w:firstLine="2850"/>
        <w:jc w:val="right"/>
        <w:rPr>
          <w:rFonts w:ascii="Times New Roman" w:hAnsi="Times New Roman" w:eastAsia="宋体" w:cs="宋体"/>
          <w:kern w:val="0"/>
          <w:sz w:val="24"/>
          <w:highlight w:val="none"/>
        </w:rPr>
      </w:pPr>
      <w:r>
        <w:rPr>
          <w:rFonts w:hint="eastAsia" w:ascii="Times New Roman" w:hAnsi="Times New Roman" w:eastAsia="宋体" w:cs="宋体"/>
          <w:sz w:val="24"/>
          <w:highlight w:val="none"/>
        </w:rPr>
        <w:t>供应商名称</w:t>
      </w:r>
      <w:r>
        <w:rPr>
          <w:rFonts w:hint="eastAsia" w:ascii="Times New Roman" w:hAnsi="Times New Roman" w:eastAsia="宋体" w:cs="宋体"/>
          <w:kern w:val="0"/>
          <w:sz w:val="24"/>
          <w:highlight w:val="none"/>
        </w:rPr>
        <w:t>（公章）：</w:t>
      </w:r>
    </w:p>
    <w:p w14:paraId="5A456FAB">
      <w:pPr>
        <w:widowControl/>
        <w:wordWrap w:val="0"/>
        <w:spacing w:line="440" w:lineRule="exact"/>
        <w:ind w:firstLine="2850"/>
        <w:jc w:val="right"/>
        <w:rPr>
          <w:rFonts w:ascii="Times New Roman" w:hAnsi="Times New Roman" w:eastAsia="宋体" w:cs="宋体"/>
          <w:kern w:val="0"/>
          <w:sz w:val="24"/>
          <w:highlight w:val="none"/>
        </w:rPr>
      </w:pPr>
      <w:r>
        <w:rPr>
          <w:rFonts w:hint="eastAsia" w:ascii="Times New Roman" w:hAnsi="Times New Roman" w:eastAsia="宋体" w:cs="宋体"/>
          <w:kern w:val="0"/>
          <w:sz w:val="24"/>
          <w:highlight w:val="none"/>
        </w:rPr>
        <w:t>法定代表人或授权代表（签字或盖章）：</w:t>
      </w:r>
    </w:p>
    <w:p w14:paraId="65F0B49B">
      <w:pPr>
        <w:widowControl/>
        <w:wordWrap w:val="0"/>
        <w:spacing w:line="440" w:lineRule="exact"/>
        <w:ind w:firstLine="2850"/>
        <w:jc w:val="right"/>
        <w:rPr>
          <w:rFonts w:hint="eastAsia" w:ascii="Times New Roman" w:hAnsi="Times New Roman" w:eastAsia="宋体" w:cs="宋体"/>
          <w:kern w:val="0"/>
          <w:sz w:val="24"/>
          <w:highlight w:val="none"/>
        </w:rPr>
      </w:pPr>
      <w:r>
        <w:rPr>
          <w:rFonts w:hint="eastAsia" w:ascii="Times New Roman" w:hAnsi="Times New Roman" w:eastAsia="宋体" w:cs="宋体"/>
          <w:kern w:val="0"/>
          <w:sz w:val="24"/>
          <w:highlight w:val="none"/>
        </w:rPr>
        <w:t>日期：</w:t>
      </w:r>
      <w:r>
        <w:rPr>
          <w:rFonts w:hint="eastAsia" w:ascii="Times New Roman" w:hAnsi="Times New Roman" w:cs="宋体"/>
          <w:kern w:val="0"/>
          <w:sz w:val="24"/>
          <w:highlight w:val="none"/>
        </w:rPr>
        <w:t xml:space="preserve"> </w:t>
      </w:r>
      <w:r>
        <w:rPr>
          <w:rFonts w:hint="eastAsia" w:ascii="Times New Roman" w:hAnsi="Times New Roman" w:eastAsia="宋体" w:cs="宋体"/>
          <w:kern w:val="0"/>
          <w:sz w:val="24"/>
          <w:highlight w:val="none"/>
        </w:rPr>
        <w:t>年</w:t>
      </w:r>
      <w:r>
        <w:rPr>
          <w:rFonts w:hint="eastAsia" w:ascii="Times New Roman" w:hAnsi="Times New Roman" w:cs="宋体"/>
          <w:kern w:val="0"/>
          <w:sz w:val="24"/>
          <w:highlight w:val="none"/>
        </w:rPr>
        <w:t xml:space="preserve"> </w:t>
      </w:r>
      <w:r>
        <w:rPr>
          <w:rFonts w:hint="eastAsia" w:ascii="Times New Roman" w:hAnsi="Times New Roman" w:eastAsia="宋体" w:cs="宋体"/>
          <w:kern w:val="0"/>
          <w:sz w:val="24"/>
          <w:highlight w:val="none"/>
        </w:rPr>
        <w:t>月</w:t>
      </w:r>
      <w:r>
        <w:rPr>
          <w:rFonts w:hint="eastAsia" w:ascii="Times New Roman" w:hAnsi="Times New Roman" w:cs="宋体"/>
          <w:kern w:val="0"/>
          <w:sz w:val="24"/>
          <w:highlight w:val="none"/>
        </w:rPr>
        <w:t xml:space="preserve">  </w:t>
      </w:r>
      <w:r>
        <w:rPr>
          <w:rFonts w:hint="eastAsia" w:ascii="Times New Roman" w:hAnsi="Times New Roman" w:eastAsia="宋体" w:cs="宋体"/>
          <w:kern w:val="0"/>
          <w:sz w:val="24"/>
          <w:highlight w:val="none"/>
        </w:rPr>
        <w:t>日</w:t>
      </w:r>
    </w:p>
    <w:p w14:paraId="0213107A">
      <w:pPr>
        <w:widowControl/>
        <w:numPr>
          <w:ilvl w:val="0"/>
          <w:numId w:val="1"/>
        </w:numPr>
        <w:spacing w:before="100" w:beforeAutospacing="1" w:after="100" w:afterAutospacing="1" w:line="360" w:lineRule="auto"/>
        <w:ind w:left="0" w:leftChars="0" w:firstLine="643" w:firstLineChars="200"/>
        <w:jc w:val="center"/>
        <w:rPr>
          <w:rFonts w:hint="eastAsia" w:ascii="Times New Roman" w:hAnsi="Times New Roman" w:eastAsia="黑体" w:cs="黑体"/>
          <w:b/>
          <w:i/>
          <w:color w:val="000000"/>
          <w:sz w:val="32"/>
          <w:szCs w:val="32"/>
          <w:highlight w:val="none"/>
          <w:u w:val="single"/>
        </w:rPr>
      </w:pPr>
      <w:r>
        <w:rPr>
          <w:rFonts w:hint="eastAsia" w:ascii="Times New Roman" w:hAnsi="Times New Roman" w:eastAsia="黑体" w:cs="黑体"/>
          <w:b/>
          <w:i/>
          <w:color w:val="000000"/>
          <w:sz w:val="32"/>
          <w:szCs w:val="32"/>
          <w:highlight w:val="none"/>
          <w:u w:val="single"/>
        </w:rPr>
        <w:t>分项报价表</w:t>
      </w:r>
    </w:p>
    <w:tbl>
      <w:tblPr>
        <w:tblStyle w:val="16"/>
        <w:tblW w:w="965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71"/>
        <w:gridCol w:w="1953"/>
        <w:gridCol w:w="1246"/>
        <w:gridCol w:w="1246"/>
        <w:gridCol w:w="1255"/>
        <w:gridCol w:w="864"/>
        <w:gridCol w:w="1080"/>
        <w:gridCol w:w="1342"/>
      </w:tblGrid>
      <w:tr w14:paraId="53D785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30"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1F77A">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序号</w:t>
            </w:r>
          </w:p>
        </w:tc>
        <w:tc>
          <w:tcPr>
            <w:tcW w:w="19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7455D">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区域名称</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041D9">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产品名称</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89F83">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参数及技术要求</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515BA">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数量</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DF802">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单位</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746DC">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综合单价/元</w:t>
            </w:r>
          </w:p>
        </w:tc>
        <w:tc>
          <w:tcPr>
            <w:tcW w:w="13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74267">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总价/元</w:t>
            </w:r>
          </w:p>
        </w:tc>
      </w:tr>
      <w:tr w14:paraId="448B64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8"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288B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19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22698">
            <w:pPr>
              <w:widowControl/>
              <w:spacing w:line="400" w:lineRule="exact"/>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rPr>
              <w:t>音乐教室1</w:t>
            </w:r>
          </w:p>
        </w:tc>
        <w:tc>
          <w:tcPr>
            <w:tcW w:w="12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3B7BBC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纤维阻燃面料窗帘（</w:t>
            </w:r>
            <w:r>
              <w:rPr>
                <w:rFonts w:hint="eastAsia" w:ascii="宋体" w:hAnsi="宋体" w:eastAsia="宋体" w:cs="宋体"/>
                <w:color w:val="auto"/>
                <w:kern w:val="0"/>
                <w:sz w:val="21"/>
                <w:szCs w:val="21"/>
                <w:highlight w:val="none"/>
                <w:lang w:val="en-US" w:eastAsia="zh-CN"/>
              </w:rPr>
              <w:t>轨道</w:t>
            </w:r>
            <w:r>
              <w:rPr>
                <w:rFonts w:hint="eastAsia" w:ascii="宋体" w:hAnsi="宋体" w:eastAsia="宋体" w:cs="宋体"/>
                <w:i w:val="0"/>
                <w:iCs w:val="0"/>
                <w:color w:val="auto"/>
                <w:kern w:val="0"/>
                <w:sz w:val="21"/>
                <w:szCs w:val="21"/>
                <w:highlight w:val="none"/>
                <w:u w:val="none"/>
                <w:lang w:val="en-US" w:eastAsia="zh-CN" w:bidi="ar"/>
              </w:rPr>
              <w:t>）</w:t>
            </w:r>
          </w:p>
        </w:tc>
        <w:tc>
          <w:tcPr>
            <w:tcW w:w="12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EEE2D78">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同项目</w:t>
            </w:r>
          </w:p>
          <w:p w14:paraId="14B5ED9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需求</w:t>
            </w:r>
          </w:p>
        </w:tc>
        <w:tc>
          <w:tcPr>
            <w:tcW w:w="12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D0FE45">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162</w:t>
            </w:r>
          </w:p>
          <w:p w14:paraId="1A7DD6C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（不含褶皱面积，褶皱率为2.0）</w:t>
            </w:r>
          </w:p>
        </w:tc>
        <w:tc>
          <w:tcPr>
            <w:tcW w:w="8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618E4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55B08C5">
            <w:pPr>
              <w:jc w:val="center"/>
              <w:rPr>
                <w:rFonts w:hint="eastAsia" w:ascii="宋体" w:hAnsi="宋体" w:eastAsia="宋体" w:cs="宋体"/>
                <w:i w:val="0"/>
                <w:iCs w:val="0"/>
                <w:color w:val="auto"/>
                <w:sz w:val="22"/>
                <w:szCs w:val="22"/>
                <w:highlight w:val="none"/>
                <w:u w:val="none"/>
              </w:rPr>
            </w:pPr>
          </w:p>
        </w:tc>
        <w:tc>
          <w:tcPr>
            <w:tcW w:w="13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13002D">
            <w:pPr>
              <w:jc w:val="center"/>
              <w:rPr>
                <w:rFonts w:hint="eastAsia" w:ascii="宋体" w:hAnsi="宋体" w:eastAsia="宋体" w:cs="宋体"/>
                <w:i w:val="0"/>
                <w:iCs w:val="0"/>
                <w:color w:val="auto"/>
                <w:sz w:val="22"/>
                <w:szCs w:val="22"/>
                <w:highlight w:val="none"/>
                <w:u w:val="none"/>
              </w:rPr>
            </w:pPr>
          </w:p>
        </w:tc>
      </w:tr>
      <w:tr w14:paraId="2D474A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8"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B0A6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19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A007D">
            <w:pPr>
              <w:widowControl/>
              <w:spacing w:line="400" w:lineRule="exact"/>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rPr>
              <w:t>音乐教室2</w:t>
            </w:r>
          </w:p>
        </w:tc>
        <w:tc>
          <w:tcPr>
            <w:tcW w:w="12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DFBE15">
            <w:pPr>
              <w:jc w:val="center"/>
              <w:rPr>
                <w:rFonts w:hint="eastAsia" w:ascii="宋体" w:hAnsi="宋体" w:eastAsia="宋体" w:cs="宋体"/>
                <w:i w:val="0"/>
                <w:iCs w:val="0"/>
                <w:color w:val="auto"/>
                <w:sz w:val="21"/>
                <w:szCs w:val="21"/>
                <w:highlight w:val="none"/>
                <w:u w:val="none"/>
              </w:rPr>
            </w:pPr>
          </w:p>
        </w:tc>
        <w:tc>
          <w:tcPr>
            <w:tcW w:w="12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C39D96">
            <w:pPr>
              <w:jc w:val="center"/>
              <w:rPr>
                <w:rFonts w:hint="eastAsia" w:ascii="宋体" w:hAnsi="宋体" w:eastAsia="宋体" w:cs="宋体"/>
                <w:i w:val="0"/>
                <w:iCs w:val="0"/>
                <w:color w:val="auto"/>
                <w:sz w:val="21"/>
                <w:szCs w:val="21"/>
                <w:highlight w:val="none"/>
                <w:u w:val="none"/>
              </w:rPr>
            </w:pPr>
          </w:p>
        </w:tc>
        <w:tc>
          <w:tcPr>
            <w:tcW w:w="12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D517B7">
            <w:pPr>
              <w:jc w:val="center"/>
              <w:rPr>
                <w:rFonts w:hint="eastAsia" w:ascii="宋体" w:hAnsi="宋体" w:eastAsia="宋体" w:cs="宋体"/>
                <w:i w:val="0"/>
                <w:iCs w:val="0"/>
                <w:color w:val="auto"/>
                <w:sz w:val="21"/>
                <w:szCs w:val="21"/>
                <w:highlight w:val="none"/>
                <w:u w:val="none"/>
              </w:rPr>
            </w:pPr>
          </w:p>
        </w:tc>
        <w:tc>
          <w:tcPr>
            <w:tcW w:w="8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156871">
            <w:pPr>
              <w:jc w:val="center"/>
              <w:rPr>
                <w:rFonts w:hint="eastAsia" w:ascii="宋体" w:hAnsi="宋体" w:eastAsia="宋体" w:cs="宋体"/>
                <w:i w:val="0"/>
                <w:iCs w:val="0"/>
                <w:color w:val="auto"/>
                <w:sz w:val="22"/>
                <w:szCs w:val="22"/>
                <w:highlight w:val="none"/>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818F7B">
            <w:pPr>
              <w:jc w:val="center"/>
              <w:rPr>
                <w:rFonts w:hint="eastAsia" w:ascii="宋体" w:hAnsi="宋体" w:eastAsia="宋体" w:cs="宋体"/>
                <w:i w:val="0"/>
                <w:iCs w:val="0"/>
                <w:color w:val="auto"/>
                <w:sz w:val="22"/>
                <w:szCs w:val="22"/>
                <w:highlight w:val="none"/>
                <w:u w:val="none"/>
              </w:rPr>
            </w:pPr>
          </w:p>
        </w:tc>
        <w:tc>
          <w:tcPr>
            <w:tcW w:w="13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A956B1">
            <w:pPr>
              <w:jc w:val="center"/>
              <w:rPr>
                <w:rFonts w:hint="eastAsia" w:ascii="宋体" w:hAnsi="宋体" w:eastAsia="宋体" w:cs="宋体"/>
                <w:i w:val="0"/>
                <w:iCs w:val="0"/>
                <w:color w:val="auto"/>
                <w:sz w:val="22"/>
                <w:szCs w:val="22"/>
                <w:highlight w:val="none"/>
                <w:u w:val="none"/>
              </w:rPr>
            </w:pPr>
          </w:p>
        </w:tc>
      </w:tr>
      <w:tr w14:paraId="378FAF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8"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3B11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19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F4CAB">
            <w:pPr>
              <w:widowControl/>
              <w:spacing w:line="400" w:lineRule="exact"/>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rPr>
              <w:t>钢琴教室1</w:t>
            </w:r>
          </w:p>
        </w:tc>
        <w:tc>
          <w:tcPr>
            <w:tcW w:w="12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3AAB76">
            <w:pPr>
              <w:jc w:val="center"/>
              <w:rPr>
                <w:rFonts w:hint="eastAsia" w:ascii="宋体" w:hAnsi="宋体" w:eastAsia="宋体" w:cs="宋体"/>
                <w:i w:val="0"/>
                <w:iCs w:val="0"/>
                <w:color w:val="auto"/>
                <w:sz w:val="21"/>
                <w:szCs w:val="21"/>
                <w:highlight w:val="none"/>
                <w:u w:val="none"/>
              </w:rPr>
            </w:pPr>
          </w:p>
        </w:tc>
        <w:tc>
          <w:tcPr>
            <w:tcW w:w="12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D8322F">
            <w:pPr>
              <w:jc w:val="center"/>
              <w:rPr>
                <w:rFonts w:hint="eastAsia" w:ascii="宋体" w:hAnsi="宋体" w:eastAsia="宋体" w:cs="宋体"/>
                <w:i w:val="0"/>
                <w:iCs w:val="0"/>
                <w:color w:val="auto"/>
                <w:sz w:val="21"/>
                <w:szCs w:val="21"/>
                <w:highlight w:val="none"/>
                <w:u w:val="none"/>
              </w:rPr>
            </w:pPr>
          </w:p>
        </w:tc>
        <w:tc>
          <w:tcPr>
            <w:tcW w:w="12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9E3F24">
            <w:pPr>
              <w:jc w:val="center"/>
              <w:rPr>
                <w:rFonts w:hint="eastAsia" w:ascii="宋体" w:hAnsi="宋体" w:eastAsia="宋体" w:cs="宋体"/>
                <w:i w:val="0"/>
                <w:iCs w:val="0"/>
                <w:color w:val="auto"/>
                <w:sz w:val="21"/>
                <w:szCs w:val="21"/>
                <w:highlight w:val="none"/>
                <w:u w:val="none"/>
              </w:rPr>
            </w:pPr>
          </w:p>
        </w:tc>
        <w:tc>
          <w:tcPr>
            <w:tcW w:w="8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655465">
            <w:pPr>
              <w:jc w:val="center"/>
              <w:rPr>
                <w:rFonts w:hint="eastAsia" w:ascii="宋体" w:hAnsi="宋体" w:eastAsia="宋体" w:cs="宋体"/>
                <w:i w:val="0"/>
                <w:iCs w:val="0"/>
                <w:color w:val="auto"/>
                <w:sz w:val="22"/>
                <w:szCs w:val="22"/>
                <w:highlight w:val="none"/>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D33BD5">
            <w:pPr>
              <w:jc w:val="center"/>
              <w:rPr>
                <w:rFonts w:hint="eastAsia" w:ascii="宋体" w:hAnsi="宋体" w:eastAsia="宋体" w:cs="宋体"/>
                <w:i w:val="0"/>
                <w:iCs w:val="0"/>
                <w:color w:val="auto"/>
                <w:sz w:val="22"/>
                <w:szCs w:val="22"/>
                <w:highlight w:val="none"/>
                <w:u w:val="none"/>
              </w:rPr>
            </w:pPr>
          </w:p>
        </w:tc>
        <w:tc>
          <w:tcPr>
            <w:tcW w:w="13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15D0A1">
            <w:pPr>
              <w:jc w:val="center"/>
              <w:rPr>
                <w:rFonts w:hint="eastAsia" w:ascii="宋体" w:hAnsi="宋体" w:eastAsia="宋体" w:cs="宋体"/>
                <w:i w:val="0"/>
                <w:iCs w:val="0"/>
                <w:color w:val="auto"/>
                <w:sz w:val="22"/>
                <w:szCs w:val="22"/>
                <w:highlight w:val="none"/>
                <w:u w:val="none"/>
              </w:rPr>
            </w:pPr>
          </w:p>
        </w:tc>
      </w:tr>
      <w:tr w14:paraId="13CE69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8"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5B25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w:t>
            </w:r>
          </w:p>
        </w:tc>
        <w:tc>
          <w:tcPr>
            <w:tcW w:w="19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816F6">
            <w:pPr>
              <w:widowControl/>
              <w:spacing w:line="400" w:lineRule="exact"/>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rPr>
              <w:t>钢琴教室2</w:t>
            </w:r>
          </w:p>
        </w:tc>
        <w:tc>
          <w:tcPr>
            <w:tcW w:w="12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E0D2F4">
            <w:pPr>
              <w:jc w:val="center"/>
              <w:rPr>
                <w:rFonts w:hint="eastAsia" w:ascii="宋体" w:hAnsi="宋体" w:eastAsia="宋体" w:cs="宋体"/>
                <w:i w:val="0"/>
                <w:iCs w:val="0"/>
                <w:color w:val="auto"/>
                <w:sz w:val="21"/>
                <w:szCs w:val="21"/>
                <w:highlight w:val="none"/>
                <w:u w:val="none"/>
              </w:rPr>
            </w:pPr>
          </w:p>
        </w:tc>
        <w:tc>
          <w:tcPr>
            <w:tcW w:w="12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7FA26E">
            <w:pPr>
              <w:jc w:val="center"/>
              <w:rPr>
                <w:rFonts w:hint="eastAsia" w:ascii="宋体" w:hAnsi="宋体" w:eastAsia="宋体" w:cs="宋体"/>
                <w:i w:val="0"/>
                <w:iCs w:val="0"/>
                <w:color w:val="auto"/>
                <w:sz w:val="21"/>
                <w:szCs w:val="21"/>
                <w:highlight w:val="none"/>
                <w:u w:val="none"/>
              </w:rPr>
            </w:pPr>
          </w:p>
        </w:tc>
        <w:tc>
          <w:tcPr>
            <w:tcW w:w="12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2373D3">
            <w:pPr>
              <w:jc w:val="center"/>
              <w:rPr>
                <w:rFonts w:hint="eastAsia" w:ascii="宋体" w:hAnsi="宋体" w:eastAsia="宋体" w:cs="宋体"/>
                <w:i w:val="0"/>
                <w:iCs w:val="0"/>
                <w:color w:val="auto"/>
                <w:sz w:val="21"/>
                <w:szCs w:val="21"/>
                <w:highlight w:val="none"/>
                <w:u w:val="none"/>
              </w:rPr>
            </w:pPr>
          </w:p>
        </w:tc>
        <w:tc>
          <w:tcPr>
            <w:tcW w:w="8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57EC8E">
            <w:pPr>
              <w:jc w:val="center"/>
              <w:rPr>
                <w:rFonts w:hint="eastAsia" w:ascii="宋体" w:hAnsi="宋体" w:eastAsia="宋体" w:cs="宋体"/>
                <w:i w:val="0"/>
                <w:iCs w:val="0"/>
                <w:color w:val="auto"/>
                <w:sz w:val="22"/>
                <w:szCs w:val="22"/>
                <w:highlight w:val="none"/>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05BADD">
            <w:pPr>
              <w:jc w:val="center"/>
              <w:rPr>
                <w:rFonts w:hint="eastAsia" w:ascii="宋体" w:hAnsi="宋体" w:eastAsia="宋体" w:cs="宋体"/>
                <w:i w:val="0"/>
                <w:iCs w:val="0"/>
                <w:color w:val="auto"/>
                <w:sz w:val="22"/>
                <w:szCs w:val="22"/>
                <w:highlight w:val="none"/>
                <w:u w:val="none"/>
              </w:rPr>
            </w:pPr>
          </w:p>
        </w:tc>
        <w:tc>
          <w:tcPr>
            <w:tcW w:w="13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EB3EB4">
            <w:pPr>
              <w:jc w:val="center"/>
              <w:rPr>
                <w:rFonts w:hint="eastAsia" w:ascii="宋体" w:hAnsi="宋体" w:eastAsia="宋体" w:cs="宋体"/>
                <w:i w:val="0"/>
                <w:iCs w:val="0"/>
                <w:color w:val="auto"/>
                <w:sz w:val="22"/>
                <w:szCs w:val="22"/>
                <w:highlight w:val="none"/>
                <w:u w:val="none"/>
              </w:rPr>
            </w:pPr>
          </w:p>
        </w:tc>
      </w:tr>
      <w:tr w14:paraId="616551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8"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6B7A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w:t>
            </w:r>
          </w:p>
        </w:tc>
        <w:tc>
          <w:tcPr>
            <w:tcW w:w="19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08302">
            <w:pPr>
              <w:widowControl/>
              <w:spacing w:line="400" w:lineRule="exact"/>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rPr>
              <w:t>钢琴教室3</w:t>
            </w:r>
          </w:p>
        </w:tc>
        <w:tc>
          <w:tcPr>
            <w:tcW w:w="1246" w:type="dxa"/>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14:paraId="6D0871B6">
            <w:pPr>
              <w:jc w:val="center"/>
              <w:rPr>
                <w:rFonts w:hint="eastAsia" w:ascii="宋体" w:hAnsi="宋体" w:eastAsia="宋体" w:cs="宋体"/>
                <w:i w:val="0"/>
                <w:iCs w:val="0"/>
                <w:color w:val="auto"/>
                <w:sz w:val="21"/>
                <w:szCs w:val="21"/>
                <w:highlight w:val="none"/>
                <w:u w:val="none"/>
              </w:rPr>
            </w:pPr>
          </w:p>
        </w:tc>
        <w:tc>
          <w:tcPr>
            <w:tcW w:w="1246" w:type="dxa"/>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14:paraId="09DAA2CE">
            <w:pPr>
              <w:jc w:val="center"/>
              <w:rPr>
                <w:rFonts w:hint="eastAsia" w:ascii="宋体" w:hAnsi="宋体" w:eastAsia="宋体" w:cs="宋体"/>
                <w:i w:val="0"/>
                <w:iCs w:val="0"/>
                <w:color w:val="auto"/>
                <w:sz w:val="21"/>
                <w:szCs w:val="21"/>
                <w:highlight w:val="none"/>
                <w:u w:val="none"/>
              </w:rPr>
            </w:pPr>
          </w:p>
        </w:tc>
        <w:tc>
          <w:tcPr>
            <w:tcW w:w="1255" w:type="dxa"/>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14:paraId="7E74A7BF">
            <w:pPr>
              <w:jc w:val="center"/>
              <w:rPr>
                <w:rFonts w:hint="eastAsia" w:ascii="宋体" w:hAnsi="宋体" w:eastAsia="宋体" w:cs="宋体"/>
                <w:i w:val="0"/>
                <w:iCs w:val="0"/>
                <w:color w:val="auto"/>
                <w:sz w:val="21"/>
                <w:szCs w:val="21"/>
                <w:highlight w:val="none"/>
                <w:u w:val="none"/>
              </w:rPr>
            </w:pPr>
          </w:p>
        </w:tc>
        <w:tc>
          <w:tcPr>
            <w:tcW w:w="864" w:type="dxa"/>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14:paraId="45D91168">
            <w:pPr>
              <w:jc w:val="center"/>
              <w:rPr>
                <w:rFonts w:hint="eastAsia" w:ascii="宋体" w:hAnsi="宋体" w:eastAsia="宋体" w:cs="宋体"/>
                <w:i w:val="0"/>
                <w:iCs w:val="0"/>
                <w:color w:val="auto"/>
                <w:sz w:val="22"/>
                <w:szCs w:val="22"/>
                <w:highlight w:val="none"/>
                <w:u w:val="none"/>
              </w:rPr>
            </w:pPr>
          </w:p>
        </w:tc>
        <w:tc>
          <w:tcPr>
            <w:tcW w:w="1080" w:type="dxa"/>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14:paraId="47C0C3B6">
            <w:pPr>
              <w:jc w:val="center"/>
              <w:rPr>
                <w:rFonts w:hint="eastAsia" w:ascii="宋体" w:hAnsi="宋体" w:eastAsia="宋体" w:cs="宋体"/>
                <w:i w:val="0"/>
                <w:iCs w:val="0"/>
                <w:color w:val="auto"/>
                <w:sz w:val="22"/>
                <w:szCs w:val="22"/>
                <w:highlight w:val="none"/>
                <w:u w:val="none"/>
              </w:rPr>
            </w:pPr>
          </w:p>
        </w:tc>
        <w:tc>
          <w:tcPr>
            <w:tcW w:w="1342" w:type="dxa"/>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14:paraId="208A43A8">
            <w:pPr>
              <w:jc w:val="center"/>
              <w:rPr>
                <w:rFonts w:hint="eastAsia" w:ascii="宋体" w:hAnsi="宋体" w:eastAsia="宋体" w:cs="宋体"/>
                <w:i w:val="0"/>
                <w:iCs w:val="0"/>
                <w:color w:val="auto"/>
                <w:sz w:val="22"/>
                <w:szCs w:val="22"/>
                <w:highlight w:val="none"/>
                <w:u w:val="none"/>
              </w:rPr>
            </w:pPr>
          </w:p>
        </w:tc>
      </w:tr>
      <w:tr w14:paraId="1C398B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8"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D07B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w:t>
            </w:r>
          </w:p>
        </w:tc>
        <w:tc>
          <w:tcPr>
            <w:tcW w:w="19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08F96">
            <w:pPr>
              <w:widowControl/>
              <w:spacing w:line="400" w:lineRule="exact"/>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rPr>
              <w:t>公共教室1</w:t>
            </w:r>
          </w:p>
        </w:tc>
        <w:tc>
          <w:tcPr>
            <w:tcW w:w="1246" w:type="dxa"/>
            <w:vMerge w:val="restart"/>
            <w:tcBorders>
              <w:top w:val="single" w:color="auto" w:sz="4" w:space="0"/>
              <w:left w:val="single" w:color="000000" w:sz="4" w:space="0"/>
              <w:right w:val="single" w:color="000000" w:sz="4" w:space="0"/>
            </w:tcBorders>
            <w:shd w:val="clear" w:color="auto" w:fill="auto"/>
            <w:vAlign w:val="center"/>
          </w:tcPr>
          <w:p w14:paraId="34EC99D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纤维阻燃面料窗帘（</w:t>
            </w:r>
            <w:r>
              <w:rPr>
                <w:rFonts w:hint="eastAsia" w:ascii="宋体" w:hAnsi="宋体" w:eastAsia="宋体" w:cs="宋体"/>
                <w:color w:val="auto"/>
                <w:kern w:val="0"/>
                <w:sz w:val="21"/>
                <w:szCs w:val="21"/>
                <w:highlight w:val="none"/>
                <w:lang w:val="en-US" w:eastAsia="zh-CN"/>
              </w:rPr>
              <w:t>罗马杆</w:t>
            </w:r>
            <w:r>
              <w:rPr>
                <w:rFonts w:hint="eastAsia" w:ascii="宋体" w:hAnsi="宋体" w:eastAsia="宋体" w:cs="宋体"/>
                <w:i w:val="0"/>
                <w:iCs w:val="0"/>
                <w:color w:val="auto"/>
                <w:kern w:val="0"/>
                <w:sz w:val="21"/>
                <w:szCs w:val="21"/>
                <w:highlight w:val="none"/>
                <w:u w:val="none"/>
                <w:lang w:val="en-US" w:eastAsia="zh-CN" w:bidi="ar"/>
              </w:rPr>
              <w:t>）</w:t>
            </w:r>
          </w:p>
        </w:tc>
        <w:tc>
          <w:tcPr>
            <w:tcW w:w="1246" w:type="dxa"/>
            <w:vMerge w:val="restart"/>
            <w:tcBorders>
              <w:top w:val="single" w:color="auto" w:sz="4" w:space="0"/>
              <w:left w:val="single" w:color="000000" w:sz="4" w:space="0"/>
              <w:right w:val="single" w:color="000000" w:sz="4" w:space="0"/>
            </w:tcBorders>
            <w:shd w:val="clear" w:color="auto" w:fill="auto"/>
            <w:vAlign w:val="center"/>
          </w:tcPr>
          <w:p w14:paraId="3954D10A">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同项目</w:t>
            </w:r>
          </w:p>
          <w:p w14:paraId="0CF03D4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需求</w:t>
            </w:r>
          </w:p>
        </w:tc>
        <w:tc>
          <w:tcPr>
            <w:tcW w:w="1255" w:type="dxa"/>
            <w:vMerge w:val="restart"/>
            <w:tcBorders>
              <w:top w:val="single" w:color="auto" w:sz="4" w:space="0"/>
              <w:left w:val="single" w:color="000000" w:sz="4" w:space="0"/>
              <w:right w:val="single" w:color="000000" w:sz="4" w:space="0"/>
            </w:tcBorders>
            <w:shd w:val="clear" w:color="auto" w:fill="auto"/>
            <w:vAlign w:val="center"/>
          </w:tcPr>
          <w:p w14:paraId="5DDEBACE">
            <w:pPr>
              <w:jc w:val="center"/>
              <w:rPr>
                <w:rFonts w:hint="default"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397.65</w:t>
            </w:r>
            <w:r>
              <w:rPr>
                <w:rFonts w:hint="eastAsia" w:ascii="宋体" w:hAnsi="宋体" w:eastAsia="宋体" w:cs="宋体"/>
                <w:i w:val="0"/>
                <w:iCs w:val="0"/>
                <w:color w:val="auto"/>
                <w:kern w:val="0"/>
                <w:sz w:val="21"/>
                <w:szCs w:val="21"/>
                <w:highlight w:val="none"/>
                <w:u w:val="none"/>
                <w:lang w:val="en-US" w:eastAsia="zh-CN" w:bidi="ar"/>
              </w:rPr>
              <w:t>（不含褶皱面积，褶皱率为2.0）</w:t>
            </w:r>
          </w:p>
        </w:tc>
        <w:tc>
          <w:tcPr>
            <w:tcW w:w="864" w:type="dxa"/>
            <w:vMerge w:val="restart"/>
            <w:tcBorders>
              <w:top w:val="single" w:color="auto" w:sz="4" w:space="0"/>
              <w:left w:val="single" w:color="000000" w:sz="4" w:space="0"/>
              <w:right w:val="single" w:color="000000" w:sz="4" w:space="0"/>
            </w:tcBorders>
            <w:shd w:val="clear" w:color="auto" w:fill="auto"/>
            <w:vAlign w:val="center"/>
          </w:tcPr>
          <w:p w14:paraId="226F97AF">
            <w:pPr>
              <w:jc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w:t>
            </w:r>
          </w:p>
        </w:tc>
        <w:tc>
          <w:tcPr>
            <w:tcW w:w="1080" w:type="dxa"/>
            <w:vMerge w:val="restart"/>
            <w:tcBorders>
              <w:top w:val="single" w:color="auto" w:sz="4" w:space="0"/>
              <w:left w:val="single" w:color="000000" w:sz="4" w:space="0"/>
              <w:right w:val="single" w:color="000000" w:sz="4" w:space="0"/>
            </w:tcBorders>
            <w:shd w:val="clear" w:color="auto" w:fill="auto"/>
            <w:vAlign w:val="center"/>
          </w:tcPr>
          <w:p w14:paraId="2035F587">
            <w:pPr>
              <w:jc w:val="center"/>
              <w:rPr>
                <w:rFonts w:hint="eastAsia" w:ascii="宋体" w:hAnsi="宋体" w:eastAsia="宋体" w:cs="宋体"/>
                <w:i w:val="0"/>
                <w:iCs w:val="0"/>
                <w:color w:val="auto"/>
                <w:sz w:val="22"/>
                <w:szCs w:val="22"/>
                <w:highlight w:val="none"/>
                <w:u w:val="none"/>
              </w:rPr>
            </w:pPr>
          </w:p>
        </w:tc>
        <w:tc>
          <w:tcPr>
            <w:tcW w:w="1342" w:type="dxa"/>
            <w:vMerge w:val="restart"/>
            <w:tcBorders>
              <w:top w:val="single" w:color="auto" w:sz="4" w:space="0"/>
              <w:left w:val="single" w:color="000000" w:sz="4" w:space="0"/>
              <w:right w:val="single" w:color="000000" w:sz="4" w:space="0"/>
            </w:tcBorders>
            <w:shd w:val="clear" w:color="auto" w:fill="auto"/>
            <w:vAlign w:val="center"/>
          </w:tcPr>
          <w:p w14:paraId="2A733DED">
            <w:pPr>
              <w:jc w:val="center"/>
              <w:rPr>
                <w:rFonts w:hint="eastAsia" w:ascii="宋体" w:hAnsi="宋体" w:eastAsia="宋体" w:cs="宋体"/>
                <w:i w:val="0"/>
                <w:iCs w:val="0"/>
                <w:color w:val="auto"/>
                <w:sz w:val="22"/>
                <w:szCs w:val="22"/>
                <w:highlight w:val="none"/>
                <w:u w:val="none"/>
              </w:rPr>
            </w:pPr>
          </w:p>
        </w:tc>
      </w:tr>
      <w:tr w14:paraId="7B9CDE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8"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7AEF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w:t>
            </w:r>
          </w:p>
        </w:tc>
        <w:tc>
          <w:tcPr>
            <w:tcW w:w="19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E5FDF">
            <w:pPr>
              <w:widowControl/>
              <w:spacing w:line="400" w:lineRule="exact"/>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rPr>
              <w:t>公共教室2</w:t>
            </w:r>
          </w:p>
        </w:tc>
        <w:tc>
          <w:tcPr>
            <w:tcW w:w="12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C476D6">
            <w:pPr>
              <w:jc w:val="center"/>
              <w:rPr>
                <w:rFonts w:hint="eastAsia" w:ascii="宋体" w:hAnsi="宋体" w:eastAsia="宋体" w:cs="宋体"/>
                <w:i w:val="0"/>
                <w:iCs w:val="0"/>
                <w:color w:val="auto"/>
                <w:sz w:val="21"/>
                <w:szCs w:val="21"/>
                <w:highlight w:val="none"/>
                <w:u w:val="none"/>
              </w:rPr>
            </w:pPr>
          </w:p>
        </w:tc>
        <w:tc>
          <w:tcPr>
            <w:tcW w:w="12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FAC02C">
            <w:pPr>
              <w:jc w:val="center"/>
              <w:rPr>
                <w:rFonts w:hint="eastAsia" w:ascii="宋体" w:hAnsi="宋体" w:eastAsia="宋体" w:cs="宋体"/>
                <w:i w:val="0"/>
                <w:iCs w:val="0"/>
                <w:color w:val="auto"/>
                <w:sz w:val="21"/>
                <w:szCs w:val="21"/>
                <w:highlight w:val="none"/>
                <w:u w:val="none"/>
              </w:rPr>
            </w:pPr>
          </w:p>
        </w:tc>
        <w:tc>
          <w:tcPr>
            <w:tcW w:w="12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BE15A3">
            <w:pPr>
              <w:jc w:val="center"/>
              <w:rPr>
                <w:rFonts w:hint="eastAsia" w:ascii="宋体" w:hAnsi="宋体" w:eastAsia="宋体" w:cs="宋体"/>
                <w:i w:val="0"/>
                <w:iCs w:val="0"/>
                <w:color w:val="auto"/>
                <w:sz w:val="21"/>
                <w:szCs w:val="21"/>
                <w:highlight w:val="none"/>
                <w:u w:val="none"/>
              </w:rPr>
            </w:pPr>
          </w:p>
        </w:tc>
        <w:tc>
          <w:tcPr>
            <w:tcW w:w="8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352AED">
            <w:pPr>
              <w:jc w:val="center"/>
              <w:rPr>
                <w:rFonts w:hint="eastAsia" w:ascii="宋体" w:hAnsi="宋体" w:eastAsia="宋体" w:cs="宋体"/>
                <w:i w:val="0"/>
                <w:iCs w:val="0"/>
                <w:color w:val="auto"/>
                <w:sz w:val="22"/>
                <w:szCs w:val="22"/>
                <w:highlight w:val="none"/>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F722C2">
            <w:pPr>
              <w:jc w:val="center"/>
              <w:rPr>
                <w:rFonts w:hint="eastAsia" w:ascii="宋体" w:hAnsi="宋体" w:eastAsia="宋体" w:cs="宋体"/>
                <w:i w:val="0"/>
                <w:iCs w:val="0"/>
                <w:color w:val="auto"/>
                <w:sz w:val="22"/>
                <w:szCs w:val="22"/>
                <w:highlight w:val="none"/>
                <w:u w:val="none"/>
              </w:rPr>
            </w:pPr>
          </w:p>
        </w:tc>
        <w:tc>
          <w:tcPr>
            <w:tcW w:w="13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5A1054">
            <w:pPr>
              <w:jc w:val="center"/>
              <w:rPr>
                <w:rFonts w:hint="eastAsia" w:ascii="宋体" w:hAnsi="宋体" w:eastAsia="宋体" w:cs="宋体"/>
                <w:i w:val="0"/>
                <w:iCs w:val="0"/>
                <w:color w:val="auto"/>
                <w:sz w:val="22"/>
                <w:szCs w:val="22"/>
                <w:highlight w:val="none"/>
                <w:u w:val="none"/>
              </w:rPr>
            </w:pPr>
          </w:p>
        </w:tc>
      </w:tr>
      <w:tr w14:paraId="2259DE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8"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D60D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w:t>
            </w:r>
          </w:p>
        </w:tc>
        <w:tc>
          <w:tcPr>
            <w:tcW w:w="19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64D1B">
            <w:pPr>
              <w:widowControl/>
              <w:spacing w:line="400" w:lineRule="exact"/>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rPr>
              <w:t>公共教室3</w:t>
            </w:r>
          </w:p>
        </w:tc>
        <w:tc>
          <w:tcPr>
            <w:tcW w:w="12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44F697">
            <w:pPr>
              <w:jc w:val="center"/>
              <w:rPr>
                <w:rFonts w:hint="eastAsia" w:ascii="宋体" w:hAnsi="宋体" w:eastAsia="宋体" w:cs="宋体"/>
                <w:i w:val="0"/>
                <w:iCs w:val="0"/>
                <w:color w:val="auto"/>
                <w:sz w:val="21"/>
                <w:szCs w:val="21"/>
                <w:highlight w:val="none"/>
                <w:u w:val="none"/>
              </w:rPr>
            </w:pPr>
          </w:p>
        </w:tc>
        <w:tc>
          <w:tcPr>
            <w:tcW w:w="12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EC72EC">
            <w:pPr>
              <w:jc w:val="center"/>
              <w:rPr>
                <w:rFonts w:hint="eastAsia" w:ascii="宋体" w:hAnsi="宋体" w:eastAsia="宋体" w:cs="宋体"/>
                <w:i w:val="0"/>
                <w:iCs w:val="0"/>
                <w:color w:val="auto"/>
                <w:sz w:val="21"/>
                <w:szCs w:val="21"/>
                <w:highlight w:val="none"/>
                <w:u w:val="none"/>
              </w:rPr>
            </w:pPr>
          </w:p>
        </w:tc>
        <w:tc>
          <w:tcPr>
            <w:tcW w:w="12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2204F0">
            <w:pPr>
              <w:jc w:val="center"/>
              <w:rPr>
                <w:rFonts w:hint="eastAsia" w:ascii="宋体" w:hAnsi="宋体" w:eastAsia="宋体" w:cs="宋体"/>
                <w:i w:val="0"/>
                <w:iCs w:val="0"/>
                <w:color w:val="auto"/>
                <w:sz w:val="21"/>
                <w:szCs w:val="21"/>
                <w:highlight w:val="none"/>
                <w:u w:val="none"/>
              </w:rPr>
            </w:pPr>
          </w:p>
        </w:tc>
        <w:tc>
          <w:tcPr>
            <w:tcW w:w="8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CD726A">
            <w:pPr>
              <w:jc w:val="center"/>
              <w:rPr>
                <w:rFonts w:hint="eastAsia" w:ascii="宋体" w:hAnsi="宋体" w:eastAsia="宋体" w:cs="宋体"/>
                <w:i w:val="0"/>
                <w:iCs w:val="0"/>
                <w:color w:val="auto"/>
                <w:sz w:val="22"/>
                <w:szCs w:val="22"/>
                <w:highlight w:val="none"/>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3CDC3C">
            <w:pPr>
              <w:jc w:val="center"/>
              <w:rPr>
                <w:rFonts w:hint="eastAsia" w:ascii="宋体" w:hAnsi="宋体" w:eastAsia="宋体" w:cs="宋体"/>
                <w:i w:val="0"/>
                <w:iCs w:val="0"/>
                <w:color w:val="auto"/>
                <w:sz w:val="22"/>
                <w:szCs w:val="22"/>
                <w:highlight w:val="none"/>
                <w:u w:val="none"/>
              </w:rPr>
            </w:pPr>
          </w:p>
        </w:tc>
        <w:tc>
          <w:tcPr>
            <w:tcW w:w="13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861504">
            <w:pPr>
              <w:jc w:val="center"/>
              <w:rPr>
                <w:rFonts w:hint="eastAsia" w:ascii="宋体" w:hAnsi="宋体" w:eastAsia="宋体" w:cs="宋体"/>
                <w:i w:val="0"/>
                <w:iCs w:val="0"/>
                <w:color w:val="auto"/>
                <w:sz w:val="22"/>
                <w:szCs w:val="22"/>
                <w:highlight w:val="none"/>
                <w:u w:val="none"/>
              </w:rPr>
            </w:pPr>
          </w:p>
        </w:tc>
      </w:tr>
      <w:tr w14:paraId="7B1435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8"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DE69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w:t>
            </w:r>
          </w:p>
        </w:tc>
        <w:tc>
          <w:tcPr>
            <w:tcW w:w="19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ECB86">
            <w:pPr>
              <w:widowControl/>
              <w:spacing w:line="400" w:lineRule="exact"/>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rPr>
              <w:t>北楼一楼梯间</w:t>
            </w:r>
          </w:p>
        </w:tc>
        <w:tc>
          <w:tcPr>
            <w:tcW w:w="12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384164">
            <w:pPr>
              <w:jc w:val="center"/>
              <w:rPr>
                <w:rFonts w:hint="eastAsia" w:ascii="宋体" w:hAnsi="宋体" w:eastAsia="宋体" w:cs="宋体"/>
                <w:i w:val="0"/>
                <w:iCs w:val="0"/>
                <w:color w:val="auto"/>
                <w:sz w:val="21"/>
                <w:szCs w:val="21"/>
                <w:highlight w:val="none"/>
                <w:u w:val="none"/>
              </w:rPr>
            </w:pPr>
          </w:p>
        </w:tc>
        <w:tc>
          <w:tcPr>
            <w:tcW w:w="12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B89D4C">
            <w:pPr>
              <w:jc w:val="center"/>
              <w:rPr>
                <w:rFonts w:hint="eastAsia" w:ascii="宋体" w:hAnsi="宋体" w:eastAsia="宋体" w:cs="宋体"/>
                <w:i w:val="0"/>
                <w:iCs w:val="0"/>
                <w:color w:val="auto"/>
                <w:sz w:val="21"/>
                <w:szCs w:val="21"/>
                <w:highlight w:val="none"/>
                <w:u w:val="none"/>
              </w:rPr>
            </w:pPr>
          </w:p>
        </w:tc>
        <w:tc>
          <w:tcPr>
            <w:tcW w:w="12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A465E5">
            <w:pPr>
              <w:jc w:val="center"/>
              <w:rPr>
                <w:rFonts w:hint="eastAsia" w:ascii="宋体" w:hAnsi="宋体" w:eastAsia="宋体" w:cs="宋体"/>
                <w:i w:val="0"/>
                <w:iCs w:val="0"/>
                <w:color w:val="auto"/>
                <w:sz w:val="21"/>
                <w:szCs w:val="21"/>
                <w:highlight w:val="none"/>
                <w:u w:val="none"/>
              </w:rPr>
            </w:pPr>
          </w:p>
        </w:tc>
        <w:tc>
          <w:tcPr>
            <w:tcW w:w="8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14D66D">
            <w:pPr>
              <w:jc w:val="center"/>
              <w:rPr>
                <w:rFonts w:hint="eastAsia" w:ascii="宋体" w:hAnsi="宋体" w:eastAsia="宋体" w:cs="宋体"/>
                <w:i w:val="0"/>
                <w:iCs w:val="0"/>
                <w:color w:val="auto"/>
                <w:sz w:val="22"/>
                <w:szCs w:val="22"/>
                <w:highlight w:val="none"/>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48A4A8">
            <w:pPr>
              <w:jc w:val="center"/>
              <w:rPr>
                <w:rFonts w:hint="eastAsia" w:ascii="宋体" w:hAnsi="宋体" w:eastAsia="宋体" w:cs="宋体"/>
                <w:i w:val="0"/>
                <w:iCs w:val="0"/>
                <w:color w:val="auto"/>
                <w:sz w:val="22"/>
                <w:szCs w:val="22"/>
                <w:highlight w:val="none"/>
                <w:u w:val="none"/>
              </w:rPr>
            </w:pPr>
          </w:p>
        </w:tc>
        <w:tc>
          <w:tcPr>
            <w:tcW w:w="13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E5414C">
            <w:pPr>
              <w:jc w:val="center"/>
              <w:rPr>
                <w:rFonts w:hint="eastAsia" w:ascii="宋体" w:hAnsi="宋体" w:eastAsia="宋体" w:cs="宋体"/>
                <w:i w:val="0"/>
                <w:iCs w:val="0"/>
                <w:color w:val="auto"/>
                <w:sz w:val="22"/>
                <w:szCs w:val="22"/>
                <w:highlight w:val="none"/>
                <w:u w:val="none"/>
              </w:rPr>
            </w:pPr>
          </w:p>
        </w:tc>
      </w:tr>
      <w:tr w14:paraId="4F8E99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8"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44BB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w:t>
            </w:r>
          </w:p>
        </w:tc>
        <w:tc>
          <w:tcPr>
            <w:tcW w:w="19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48207">
            <w:pPr>
              <w:widowControl/>
              <w:spacing w:line="400" w:lineRule="exact"/>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rPr>
              <w:t>北楼一楼东边教室</w:t>
            </w:r>
          </w:p>
        </w:tc>
        <w:tc>
          <w:tcPr>
            <w:tcW w:w="12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64BDD7">
            <w:pPr>
              <w:jc w:val="center"/>
              <w:rPr>
                <w:rFonts w:hint="eastAsia" w:ascii="宋体" w:hAnsi="宋体" w:eastAsia="宋体" w:cs="宋体"/>
                <w:i w:val="0"/>
                <w:iCs w:val="0"/>
                <w:color w:val="auto"/>
                <w:sz w:val="21"/>
                <w:szCs w:val="21"/>
                <w:highlight w:val="none"/>
                <w:u w:val="none"/>
              </w:rPr>
            </w:pPr>
          </w:p>
        </w:tc>
        <w:tc>
          <w:tcPr>
            <w:tcW w:w="1246" w:type="dxa"/>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14:paraId="4F6DB653">
            <w:pPr>
              <w:jc w:val="center"/>
              <w:rPr>
                <w:rFonts w:hint="eastAsia" w:ascii="宋体" w:hAnsi="宋体" w:eastAsia="宋体" w:cs="宋体"/>
                <w:i w:val="0"/>
                <w:iCs w:val="0"/>
                <w:color w:val="auto"/>
                <w:sz w:val="21"/>
                <w:szCs w:val="21"/>
                <w:highlight w:val="none"/>
                <w:u w:val="none"/>
              </w:rPr>
            </w:pPr>
          </w:p>
        </w:tc>
        <w:tc>
          <w:tcPr>
            <w:tcW w:w="12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4393AB">
            <w:pPr>
              <w:jc w:val="center"/>
              <w:rPr>
                <w:rFonts w:hint="eastAsia" w:ascii="宋体" w:hAnsi="宋体" w:eastAsia="宋体" w:cs="宋体"/>
                <w:i w:val="0"/>
                <w:iCs w:val="0"/>
                <w:color w:val="auto"/>
                <w:sz w:val="21"/>
                <w:szCs w:val="21"/>
                <w:highlight w:val="none"/>
                <w:u w:val="none"/>
              </w:rPr>
            </w:pPr>
          </w:p>
        </w:tc>
        <w:tc>
          <w:tcPr>
            <w:tcW w:w="8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044752">
            <w:pPr>
              <w:jc w:val="center"/>
              <w:rPr>
                <w:rFonts w:hint="eastAsia" w:ascii="宋体" w:hAnsi="宋体" w:eastAsia="宋体" w:cs="宋体"/>
                <w:i w:val="0"/>
                <w:iCs w:val="0"/>
                <w:color w:val="auto"/>
                <w:sz w:val="22"/>
                <w:szCs w:val="22"/>
                <w:highlight w:val="none"/>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1FEA11">
            <w:pPr>
              <w:jc w:val="center"/>
              <w:rPr>
                <w:rFonts w:hint="eastAsia" w:ascii="宋体" w:hAnsi="宋体" w:eastAsia="宋体" w:cs="宋体"/>
                <w:i w:val="0"/>
                <w:iCs w:val="0"/>
                <w:color w:val="auto"/>
                <w:sz w:val="22"/>
                <w:szCs w:val="22"/>
                <w:highlight w:val="none"/>
                <w:u w:val="none"/>
              </w:rPr>
            </w:pPr>
          </w:p>
        </w:tc>
        <w:tc>
          <w:tcPr>
            <w:tcW w:w="13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2B585F">
            <w:pPr>
              <w:jc w:val="center"/>
              <w:rPr>
                <w:rFonts w:hint="eastAsia" w:ascii="宋体" w:hAnsi="宋体" w:eastAsia="宋体" w:cs="宋体"/>
                <w:i w:val="0"/>
                <w:iCs w:val="0"/>
                <w:color w:val="auto"/>
                <w:sz w:val="22"/>
                <w:szCs w:val="22"/>
                <w:highlight w:val="none"/>
                <w:u w:val="none"/>
              </w:rPr>
            </w:pPr>
          </w:p>
        </w:tc>
      </w:tr>
      <w:tr w14:paraId="0F3B8E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7"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9BF7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w:t>
            </w:r>
          </w:p>
        </w:tc>
        <w:tc>
          <w:tcPr>
            <w:tcW w:w="19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1A9A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公共教室2-3过道</w:t>
            </w:r>
          </w:p>
        </w:tc>
        <w:tc>
          <w:tcPr>
            <w:tcW w:w="12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C1630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阻燃卷帘</w:t>
            </w:r>
          </w:p>
        </w:tc>
        <w:tc>
          <w:tcPr>
            <w:tcW w:w="1246" w:type="dxa"/>
            <w:vMerge w:val="restart"/>
            <w:tcBorders>
              <w:top w:val="single" w:color="auto" w:sz="4" w:space="0"/>
              <w:left w:val="single" w:color="000000" w:sz="4" w:space="0"/>
              <w:right w:val="single" w:color="000000" w:sz="4" w:space="0"/>
            </w:tcBorders>
            <w:shd w:val="clear" w:color="auto" w:fill="auto"/>
            <w:vAlign w:val="center"/>
          </w:tcPr>
          <w:p w14:paraId="0424E617">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同项目</w:t>
            </w:r>
          </w:p>
          <w:p w14:paraId="61FA1D77">
            <w:pPr>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需求</w:t>
            </w:r>
          </w:p>
        </w:tc>
        <w:tc>
          <w:tcPr>
            <w:tcW w:w="12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9E6083">
            <w:pPr>
              <w:keepNext w:val="0"/>
              <w:keepLines w:val="0"/>
              <w:widowControl/>
              <w:suppressLineNumbers w:val="0"/>
              <w:jc w:val="center"/>
              <w:textAlignment w:val="center"/>
              <w:rPr>
                <w:rFonts w:hint="default" w:ascii="宋体" w:hAnsi="宋体" w:eastAsia="宋体" w:cs="宋体"/>
                <w:i w:val="0"/>
                <w:iCs w:val="0"/>
                <w:color w:val="auto"/>
                <w:sz w:val="21"/>
                <w:szCs w:val="21"/>
                <w:highlight w:val="none"/>
                <w:u w:val="none"/>
                <w:lang w:val="en-US"/>
              </w:rPr>
            </w:pPr>
            <w:r>
              <w:rPr>
                <w:rFonts w:hint="eastAsia" w:ascii="宋体" w:hAnsi="宋体" w:eastAsia="宋体" w:cs="宋体"/>
                <w:i w:val="0"/>
                <w:iCs w:val="0"/>
                <w:color w:val="auto"/>
                <w:kern w:val="0"/>
                <w:sz w:val="21"/>
                <w:szCs w:val="21"/>
                <w:highlight w:val="none"/>
                <w:u w:val="none"/>
                <w:lang w:val="en-US" w:eastAsia="zh-CN" w:bidi="ar"/>
              </w:rPr>
              <w:t>92.80</w:t>
            </w:r>
          </w:p>
        </w:tc>
        <w:tc>
          <w:tcPr>
            <w:tcW w:w="8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0880C3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D51BAD">
            <w:pPr>
              <w:jc w:val="center"/>
              <w:rPr>
                <w:rFonts w:hint="eastAsia" w:ascii="宋体" w:hAnsi="宋体" w:eastAsia="宋体" w:cs="宋体"/>
                <w:i w:val="0"/>
                <w:iCs w:val="0"/>
                <w:color w:val="auto"/>
                <w:sz w:val="22"/>
                <w:szCs w:val="22"/>
                <w:highlight w:val="none"/>
                <w:u w:val="none"/>
              </w:rPr>
            </w:pPr>
          </w:p>
        </w:tc>
        <w:tc>
          <w:tcPr>
            <w:tcW w:w="13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3A76E9">
            <w:pPr>
              <w:jc w:val="center"/>
              <w:rPr>
                <w:rFonts w:hint="eastAsia" w:ascii="宋体" w:hAnsi="宋体" w:eastAsia="宋体" w:cs="宋体"/>
                <w:i w:val="0"/>
                <w:iCs w:val="0"/>
                <w:color w:val="auto"/>
                <w:sz w:val="22"/>
                <w:szCs w:val="22"/>
                <w:highlight w:val="none"/>
                <w:u w:val="none"/>
              </w:rPr>
            </w:pPr>
          </w:p>
        </w:tc>
      </w:tr>
      <w:tr w14:paraId="55C378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7"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3655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w:t>
            </w:r>
          </w:p>
        </w:tc>
        <w:tc>
          <w:tcPr>
            <w:tcW w:w="19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65F3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公共教室4</w:t>
            </w:r>
          </w:p>
        </w:tc>
        <w:tc>
          <w:tcPr>
            <w:tcW w:w="12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78A696">
            <w:pPr>
              <w:jc w:val="center"/>
              <w:rPr>
                <w:rFonts w:hint="eastAsia" w:ascii="宋体" w:hAnsi="宋体" w:eastAsia="宋体" w:cs="宋体"/>
                <w:i w:val="0"/>
                <w:iCs w:val="0"/>
                <w:color w:val="auto"/>
                <w:sz w:val="21"/>
                <w:szCs w:val="21"/>
                <w:highlight w:val="none"/>
                <w:u w:val="none"/>
              </w:rPr>
            </w:pPr>
          </w:p>
        </w:tc>
        <w:tc>
          <w:tcPr>
            <w:tcW w:w="1246"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68926A4C">
            <w:pPr>
              <w:jc w:val="center"/>
              <w:rPr>
                <w:rFonts w:hint="eastAsia" w:ascii="宋体" w:hAnsi="宋体" w:eastAsia="宋体" w:cs="宋体"/>
                <w:i w:val="0"/>
                <w:iCs w:val="0"/>
                <w:color w:val="auto"/>
                <w:sz w:val="21"/>
                <w:szCs w:val="21"/>
                <w:highlight w:val="none"/>
                <w:u w:val="none"/>
              </w:rPr>
            </w:pPr>
          </w:p>
        </w:tc>
        <w:tc>
          <w:tcPr>
            <w:tcW w:w="12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4E2573">
            <w:pPr>
              <w:jc w:val="center"/>
              <w:rPr>
                <w:rFonts w:hint="eastAsia" w:ascii="宋体" w:hAnsi="宋体" w:eastAsia="宋体" w:cs="宋体"/>
                <w:i w:val="0"/>
                <w:iCs w:val="0"/>
                <w:color w:val="auto"/>
                <w:sz w:val="21"/>
                <w:szCs w:val="21"/>
                <w:highlight w:val="none"/>
                <w:u w:val="none"/>
              </w:rPr>
            </w:pPr>
          </w:p>
        </w:tc>
        <w:tc>
          <w:tcPr>
            <w:tcW w:w="8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E36262">
            <w:pPr>
              <w:jc w:val="center"/>
              <w:rPr>
                <w:rFonts w:hint="eastAsia" w:ascii="宋体" w:hAnsi="宋体" w:eastAsia="宋体" w:cs="宋体"/>
                <w:i w:val="0"/>
                <w:iCs w:val="0"/>
                <w:color w:val="auto"/>
                <w:sz w:val="22"/>
                <w:szCs w:val="22"/>
                <w:highlight w:val="none"/>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0BD176">
            <w:pPr>
              <w:jc w:val="center"/>
              <w:rPr>
                <w:rFonts w:hint="eastAsia" w:ascii="宋体" w:hAnsi="宋体" w:eastAsia="宋体" w:cs="宋体"/>
                <w:i w:val="0"/>
                <w:iCs w:val="0"/>
                <w:color w:val="auto"/>
                <w:sz w:val="22"/>
                <w:szCs w:val="22"/>
                <w:highlight w:val="none"/>
                <w:u w:val="none"/>
              </w:rPr>
            </w:pPr>
          </w:p>
        </w:tc>
        <w:tc>
          <w:tcPr>
            <w:tcW w:w="13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5B5DE4">
            <w:pPr>
              <w:jc w:val="center"/>
              <w:rPr>
                <w:rFonts w:hint="eastAsia" w:ascii="宋体" w:hAnsi="宋体" w:eastAsia="宋体" w:cs="宋体"/>
                <w:i w:val="0"/>
                <w:iCs w:val="0"/>
                <w:color w:val="auto"/>
                <w:sz w:val="22"/>
                <w:szCs w:val="22"/>
                <w:highlight w:val="none"/>
                <w:u w:val="none"/>
              </w:rPr>
            </w:pPr>
          </w:p>
        </w:tc>
      </w:tr>
      <w:tr w14:paraId="083DEE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6" w:hRule="atLeast"/>
          <w:jc w:val="center"/>
        </w:trPr>
        <w:tc>
          <w:tcPr>
            <w:tcW w:w="0" w:type="auto"/>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03AAEF">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合计/元：大写：                   小写：         </w:t>
            </w:r>
          </w:p>
        </w:tc>
      </w:tr>
    </w:tbl>
    <w:p w14:paraId="74E6D02C">
      <w:pPr>
        <w:pStyle w:val="21"/>
        <w:widowControl w:val="0"/>
        <w:numPr>
          <w:ilvl w:val="0"/>
          <w:numId w:val="0"/>
        </w:numPr>
        <w:spacing w:line="400" w:lineRule="exact"/>
        <w:jc w:val="both"/>
      </w:pPr>
    </w:p>
    <w:p w14:paraId="693C7E46">
      <w:pPr>
        <w:pStyle w:val="13"/>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right="0"/>
        <w:jc w:val="left"/>
        <w:rPr>
          <w:rFonts w:hint="eastAsia" w:ascii="Times New Roman" w:hAnsi="Times New Roman" w:cs="Times New Roman" w:eastAsiaTheme="minorEastAsia"/>
          <w:b/>
          <w:bCs/>
          <w:color w:val="000000"/>
          <w:sz w:val="24"/>
          <w:szCs w:val="24"/>
          <w:lang w:val="en-US" w:eastAsia="zh-CN"/>
        </w:rPr>
      </w:pPr>
      <w:r>
        <w:rPr>
          <w:rFonts w:hint="eastAsia" w:ascii="Times New Roman" w:hAnsi="Times New Roman" w:cs="Times New Roman"/>
          <w:b/>
          <w:bCs/>
          <w:color w:val="000000"/>
          <w:sz w:val="24"/>
          <w:szCs w:val="24"/>
          <w:lang w:val="en-US" w:eastAsia="zh-CN"/>
        </w:rPr>
        <w:t>注：</w:t>
      </w:r>
    </w:p>
    <w:p w14:paraId="0C18148D">
      <w:pPr>
        <w:pStyle w:val="13"/>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right="0" w:firstLine="482" w:firstLineChars="200"/>
        <w:jc w:val="left"/>
        <w:rPr>
          <w:rFonts w:hint="eastAsia" w:ascii="Times New Roman" w:hAnsi="Times New Roman" w:cs="Times New Roman"/>
          <w:b/>
          <w:bCs/>
          <w:color w:val="000000"/>
          <w:sz w:val="24"/>
          <w:szCs w:val="24"/>
          <w:lang w:val="en-US" w:eastAsia="zh-CN"/>
        </w:rPr>
      </w:pPr>
      <w:r>
        <w:rPr>
          <w:rFonts w:hint="eastAsia" w:ascii="Times New Roman" w:hAnsi="Times New Roman" w:cs="Times New Roman"/>
          <w:b/>
          <w:bCs/>
          <w:color w:val="000000"/>
          <w:sz w:val="24"/>
          <w:szCs w:val="24"/>
          <w:lang w:val="en-US" w:eastAsia="zh-CN"/>
        </w:rPr>
        <w:t>1、上述报价为全费用综合单价，涉及到未单独立项报价的配件和辅材及面料加工等，由各投标人综合考虑进主材的报价中，招采购人不再为此支付任何费用。</w:t>
      </w:r>
    </w:p>
    <w:p w14:paraId="6F309919">
      <w:pPr>
        <w:pStyle w:val="13"/>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right="0" w:firstLine="482" w:firstLineChars="200"/>
        <w:jc w:val="left"/>
        <w:rPr>
          <w:rFonts w:hint="default" w:ascii="Times New Roman" w:hAnsi="Times New Roman" w:cs="Times New Roman"/>
          <w:b/>
          <w:bCs/>
          <w:color w:val="000000"/>
          <w:sz w:val="24"/>
          <w:szCs w:val="24"/>
          <w:lang w:val="en-US" w:eastAsia="zh-CN"/>
        </w:rPr>
      </w:pPr>
      <w:r>
        <w:rPr>
          <w:rFonts w:hint="eastAsia" w:ascii="Times New Roman" w:hAnsi="Times New Roman" w:cs="Times New Roman"/>
          <w:b/>
          <w:bCs/>
          <w:color w:val="000000"/>
          <w:sz w:val="24"/>
          <w:szCs w:val="24"/>
          <w:lang w:val="en-US" w:eastAsia="zh-CN"/>
        </w:rPr>
        <w:t>2、技术性能同项目需求，具体数量，由各供应商根据主材数量、供货需求和采购人实际要求综合考虑进行配置。</w:t>
      </w:r>
    </w:p>
    <w:p w14:paraId="06EBC1D8">
      <w:pPr>
        <w:pStyle w:val="13"/>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right="0" w:firstLine="2850"/>
        <w:jc w:val="right"/>
        <w:rPr>
          <w:rFonts w:hint="default" w:ascii="Times New Roman" w:hAnsi="Times New Roman" w:cs="Times New Roman"/>
          <w:color w:val="000000"/>
          <w:sz w:val="24"/>
          <w:szCs w:val="24"/>
        </w:rPr>
      </w:pPr>
    </w:p>
    <w:p w14:paraId="73976E18">
      <w:pPr>
        <w:pStyle w:val="13"/>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right="0" w:firstLine="2850"/>
        <w:jc w:val="right"/>
        <w:rPr>
          <w:rFonts w:hint="default" w:ascii="Times New Roman" w:hAnsi="Times New Roman" w:cs="Times New Roman"/>
          <w:color w:val="000000"/>
          <w:sz w:val="24"/>
          <w:szCs w:val="24"/>
        </w:rPr>
      </w:pPr>
    </w:p>
    <w:p w14:paraId="1145CB66">
      <w:pPr>
        <w:pStyle w:val="13"/>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right="0" w:firstLine="2850"/>
        <w:jc w:val="right"/>
      </w:pPr>
      <w:r>
        <w:rPr>
          <w:rFonts w:hint="default" w:ascii="Times New Roman" w:hAnsi="Times New Roman" w:cs="Times New Roman"/>
          <w:color w:val="000000"/>
          <w:sz w:val="24"/>
          <w:szCs w:val="24"/>
        </w:rPr>
        <w:t>供应商名称（公章）：</w:t>
      </w:r>
    </w:p>
    <w:p w14:paraId="01CDD235">
      <w:pPr>
        <w:pStyle w:val="13"/>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2850"/>
        <w:jc w:val="right"/>
      </w:pPr>
      <w:r>
        <w:rPr>
          <w:rFonts w:hint="default" w:ascii="Times New Roman" w:hAnsi="Times New Roman" w:cs="Times New Roman"/>
          <w:color w:val="000000"/>
          <w:sz w:val="24"/>
          <w:szCs w:val="24"/>
        </w:rPr>
        <w:t>法定代表人或授权代表（签字或盖章）：</w:t>
      </w:r>
    </w:p>
    <w:p w14:paraId="188E41A0">
      <w:pPr>
        <w:pStyle w:val="13"/>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2850"/>
        <w:jc w:val="right"/>
      </w:pPr>
      <w:r>
        <w:rPr>
          <w:rFonts w:hint="default" w:ascii="Times New Roman" w:hAnsi="Times New Roman" w:cs="Times New Roman"/>
          <w:color w:val="000000"/>
          <w:sz w:val="24"/>
          <w:szCs w:val="24"/>
        </w:rPr>
        <w:t>日期：</w:t>
      </w:r>
      <w:r>
        <w:rPr>
          <w:rFonts w:hint="eastAsia" w:ascii="Times New Roman" w:hAnsi="Times New Roman" w:cs="Times New Roman"/>
          <w:color w:val="000000"/>
          <w:sz w:val="24"/>
          <w:szCs w:val="24"/>
          <w:lang w:val="en-US" w:eastAsia="zh-CN"/>
        </w:rPr>
        <w:t xml:space="preserve">  </w:t>
      </w:r>
      <w:r>
        <w:rPr>
          <w:rFonts w:hint="default" w:ascii="Times New Roman" w:hAnsi="Times New Roman" w:cs="Times New Roman"/>
          <w:color w:val="000000"/>
          <w:sz w:val="24"/>
          <w:szCs w:val="24"/>
        </w:rPr>
        <w:t> 年 </w:t>
      </w:r>
      <w:r>
        <w:rPr>
          <w:rFonts w:hint="eastAsia" w:ascii="Times New Roman" w:hAnsi="Times New Roman" w:cs="Times New Roman"/>
          <w:color w:val="000000"/>
          <w:sz w:val="24"/>
          <w:szCs w:val="24"/>
          <w:lang w:val="en-US" w:eastAsia="zh-CN"/>
        </w:rPr>
        <w:t xml:space="preserve">  </w:t>
      </w:r>
      <w:r>
        <w:rPr>
          <w:rFonts w:hint="default" w:ascii="Times New Roman" w:hAnsi="Times New Roman" w:cs="Times New Roman"/>
          <w:color w:val="000000"/>
          <w:sz w:val="24"/>
          <w:szCs w:val="24"/>
        </w:rPr>
        <w:t>月  日</w:t>
      </w:r>
    </w:p>
    <w:p w14:paraId="196398F3">
      <w:pPr>
        <w:jc w:val="center"/>
        <w:rPr>
          <w:rFonts w:ascii="黑体" w:eastAsia="黑体"/>
          <w:sz w:val="32"/>
          <w:szCs w:val="32"/>
          <w:highlight w:val="none"/>
        </w:rPr>
      </w:pPr>
      <w:r>
        <w:rPr>
          <w:rFonts w:ascii="Times New Roman" w:hAnsi="Times New Roman" w:eastAsia="黑体" w:cs="黑体"/>
          <w:bCs/>
          <w:i/>
          <w:color w:val="000000"/>
          <w:sz w:val="32"/>
          <w:szCs w:val="32"/>
          <w:highlight w:val="none"/>
          <w:u w:val="single"/>
        </w:rPr>
        <w:br w:type="page"/>
      </w:r>
      <w:r>
        <w:rPr>
          <w:rFonts w:hint="eastAsia" w:ascii="Times New Roman" w:hAnsi="Times New Roman" w:eastAsia="黑体" w:cs="黑体"/>
          <w:b/>
          <w:i/>
          <w:color w:val="000000"/>
          <w:sz w:val="32"/>
          <w:szCs w:val="32"/>
          <w:highlight w:val="none"/>
          <w:u w:val="single"/>
        </w:rPr>
        <w:t>七、技术参数响应及偏离表</w:t>
      </w:r>
    </w:p>
    <w:p w14:paraId="1DFAEC87">
      <w:pPr>
        <w:rPr>
          <w:rFonts w:ascii="宋体" w:hAnsi="宋体"/>
          <w:sz w:val="24"/>
          <w:highlight w:val="none"/>
        </w:rPr>
      </w:pPr>
      <w:r>
        <w:rPr>
          <w:rFonts w:hint="eastAsia" w:ascii="宋体" w:hAnsi="宋体"/>
          <w:sz w:val="24"/>
          <w:highlight w:val="none"/>
        </w:rPr>
        <w:t xml:space="preserve">投标人全称（加盖公章）：       </w:t>
      </w:r>
    </w:p>
    <w:tbl>
      <w:tblPr>
        <w:tblStyle w:val="16"/>
        <w:tblW w:w="9801"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1030"/>
        <w:gridCol w:w="5197"/>
        <w:gridCol w:w="990"/>
        <w:gridCol w:w="1020"/>
        <w:gridCol w:w="713"/>
      </w:tblGrid>
      <w:tr w14:paraId="63A58D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trPr>
        <w:tc>
          <w:tcPr>
            <w:tcW w:w="851" w:type="dxa"/>
            <w:vAlign w:val="center"/>
          </w:tcPr>
          <w:p w14:paraId="4AE84BC0">
            <w:pPr>
              <w:keepNext w:val="0"/>
              <w:keepLines w:val="0"/>
              <w:pageBreakBefore w:val="0"/>
              <w:kinsoku/>
              <w:wordWrap/>
              <w:overflowPunct/>
              <w:topLinePunct w:val="0"/>
              <w:bidi w:val="0"/>
              <w:adjustRightInd/>
              <w:snapToGrid/>
              <w:jc w:val="center"/>
              <w:textAlignment w:val="auto"/>
              <w:rPr>
                <w:rFonts w:ascii="宋体" w:hAnsi="宋体"/>
                <w:sz w:val="18"/>
                <w:szCs w:val="18"/>
                <w:highlight w:val="none"/>
              </w:rPr>
            </w:pPr>
            <w:r>
              <w:rPr>
                <w:rFonts w:hint="eastAsia" w:ascii="宋体" w:hAnsi="宋体"/>
                <w:sz w:val="18"/>
                <w:szCs w:val="18"/>
                <w:highlight w:val="none"/>
              </w:rPr>
              <w:t>序号</w:t>
            </w:r>
          </w:p>
        </w:tc>
        <w:tc>
          <w:tcPr>
            <w:tcW w:w="1030" w:type="dxa"/>
            <w:vAlign w:val="center"/>
          </w:tcPr>
          <w:p w14:paraId="72EBC0D8">
            <w:pPr>
              <w:keepNext w:val="0"/>
              <w:keepLines w:val="0"/>
              <w:pageBreakBefore w:val="0"/>
              <w:kinsoku/>
              <w:wordWrap/>
              <w:overflowPunct/>
              <w:topLinePunct w:val="0"/>
              <w:bidi w:val="0"/>
              <w:adjustRightInd/>
              <w:snapToGrid/>
              <w:jc w:val="center"/>
              <w:textAlignment w:val="auto"/>
              <w:rPr>
                <w:rFonts w:ascii="宋体" w:hAnsi="宋体"/>
                <w:sz w:val="18"/>
                <w:szCs w:val="18"/>
                <w:highlight w:val="none"/>
              </w:rPr>
            </w:pPr>
            <w:r>
              <w:rPr>
                <w:rFonts w:hint="eastAsia" w:ascii="宋体" w:hAnsi="宋体" w:eastAsia="宋体" w:cs="宋体"/>
                <w:b/>
                <w:bCs/>
                <w:sz w:val="18"/>
                <w:szCs w:val="18"/>
                <w:highlight w:val="none"/>
                <w:lang w:val="en-US" w:eastAsia="zh-CN"/>
              </w:rPr>
              <w:t>采购物品名称</w:t>
            </w:r>
          </w:p>
        </w:tc>
        <w:tc>
          <w:tcPr>
            <w:tcW w:w="5197" w:type="dxa"/>
            <w:vAlign w:val="center"/>
          </w:tcPr>
          <w:p w14:paraId="03E55AFD">
            <w:pPr>
              <w:keepNext w:val="0"/>
              <w:keepLines w:val="0"/>
              <w:pageBreakBefore w:val="0"/>
              <w:kinsoku/>
              <w:wordWrap/>
              <w:overflowPunct/>
              <w:topLinePunct w:val="0"/>
              <w:bidi w:val="0"/>
              <w:adjustRightInd/>
              <w:snapToGrid/>
              <w:jc w:val="center"/>
              <w:textAlignment w:val="auto"/>
              <w:rPr>
                <w:rFonts w:hint="eastAsia" w:ascii="宋体" w:hAnsi="宋体"/>
                <w:sz w:val="18"/>
                <w:szCs w:val="18"/>
                <w:highlight w:val="none"/>
              </w:rPr>
            </w:pPr>
            <w:r>
              <w:rPr>
                <w:rFonts w:hint="eastAsia" w:ascii="宋体" w:hAnsi="宋体"/>
                <w:sz w:val="18"/>
                <w:szCs w:val="18"/>
                <w:highlight w:val="none"/>
              </w:rPr>
              <w:t>招标要求</w:t>
            </w:r>
          </w:p>
        </w:tc>
        <w:tc>
          <w:tcPr>
            <w:tcW w:w="990" w:type="dxa"/>
            <w:vAlign w:val="center"/>
          </w:tcPr>
          <w:p w14:paraId="54D97156">
            <w:pPr>
              <w:keepNext w:val="0"/>
              <w:keepLines w:val="0"/>
              <w:pageBreakBefore w:val="0"/>
              <w:kinsoku/>
              <w:wordWrap/>
              <w:overflowPunct/>
              <w:topLinePunct w:val="0"/>
              <w:bidi w:val="0"/>
              <w:adjustRightInd/>
              <w:snapToGrid/>
              <w:jc w:val="center"/>
              <w:textAlignment w:val="auto"/>
              <w:rPr>
                <w:rFonts w:ascii="宋体" w:hAnsi="宋体"/>
                <w:sz w:val="18"/>
                <w:szCs w:val="18"/>
                <w:highlight w:val="none"/>
              </w:rPr>
            </w:pPr>
            <w:r>
              <w:rPr>
                <w:rFonts w:hint="eastAsia" w:ascii="宋体" w:hAnsi="宋体"/>
                <w:sz w:val="18"/>
                <w:szCs w:val="18"/>
                <w:highlight w:val="none"/>
              </w:rPr>
              <w:t>投标响应</w:t>
            </w:r>
          </w:p>
        </w:tc>
        <w:tc>
          <w:tcPr>
            <w:tcW w:w="1020" w:type="dxa"/>
            <w:vAlign w:val="center"/>
          </w:tcPr>
          <w:p w14:paraId="12B5717F">
            <w:pPr>
              <w:keepNext w:val="0"/>
              <w:keepLines w:val="0"/>
              <w:pageBreakBefore w:val="0"/>
              <w:kinsoku/>
              <w:wordWrap/>
              <w:overflowPunct/>
              <w:topLinePunct w:val="0"/>
              <w:bidi w:val="0"/>
              <w:adjustRightInd/>
              <w:snapToGrid/>
              <w:jc w:val="center"/>
              <w:textAlignment w:val="auto"/>
              <w:rPr>
                <w:rFonts w:ascii="宋体" w:hAnsi="宋体"/>
                <w:sz w:val="18"/>
                <w:szCs w:val="18"/>
                <w:highlight w:val="none"/>
              </w:rPr>
            </w:pPr>
            <w:r>
              <w:rPr>
                <w:rFonts w:hint="eastAsia" w:ascii="宋体" w:hAnsi="宋体"/>
                <w:sz w:val="18"/>
                <w:szCs w:val="18"/>
                <w:highlight w:val="none"/>
              </w:rPr>
              <w:t>超出、符合或偏离</w:t>
            </w:r>
          </w:p>
        </w:tc>
        <w:tc>
          <w:tcPr>
            <w:tcW w:w="713" w:type="dxa"/>
            <w:vAlign w:val="center"/>
          </w:tcPr>
          <w:p w14:paraId="04ACE76F">
            <w:pPr>
              <w:keepNext w:val="0"/>
              <w:keepLines w:val="0"/>
              <w:pageBreakBefore w:val="0"/>
              <w:kinsoku/>
              <w:wordWrap/>
              <w:overflowPunct/>
              <w:topLinePunct w:val="0"/>
              <w:bidi w:val="0"/>
              <w:adjustRightInd/>
              <w:snapToGrid/>
              <w:jc w:val="center"/>
              <w:textAlignment w:val="auto"/>
              <w:rPr>
                <w:rFonts w:ascii="宋体" w:hAnsi="宋体"/>
                <w:sz w:val="18"/>
                <w:szCs w:val="18"/>
                <w:highlight w:val="none"/>
              </w:rPr>
            </w:pPr>
            <w:r>
              <w:rPr>
                <w:rFonts w:hint="eastAsia" w:ascii="宋体" w:hAnsi="宋体"/>
                <w:sz w:val="18"/>
                <w:szCs w:val="18"/>
                <w:highlight w:val="none"/>
              </w:rPr>
              <w:t>原因</w:t>
            </w:r>
          </w:p>
        </w:tc>
      </w:tr>
      <w:tr w14:paraId="2F1AA4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851" w:type="dxa"/>
          </w:tcPr>
          <w:p w14:paraId="18FDF8A9">
            <w:pPr>
              <w:keepNext w:val="0"/>
              <w:keepLines w:val="0"/>
              <w:pageBreakBefore w:val="0"/>
              <w:kinsoku/>
              <w:wordWrap/>
              <w:overflowPunct/>
              <w:topLinePunct w:val="0"/>
              <w:bidi w:val="0"/>
              <w:adjustRightInd/>
              <w:snapToGrid/>
              <w:jc w:val="center"/>
              <w:textAlignment w:val="auto"/>
              <w:rPr>
                <w:rFonts w:hint="default" w:ascii="宋体" w:hAnsi="宋体" w:eastAsiaTheme="minorEastAsia"/>
                <w:sz w:val="18"/>
                <w:szCs w:val="18"/>
                <w:highlight w:val="none"/>
                <w:lang w:val="en-US" w:eastAsia="zh-CN"/>
              </w:rPr>
            </w:pPr>
            <w:r>
              <w:rPr>
                <w:rFonts w:hint="eastAsia" w:ascii="宋体" w:hAnsi="宋体"/>
                <w:sz w:val="18"/>
                <w:szCs w:val="18"/>
                <w:highlight w:val="none"/>
                <w:lang w:val="en-US" w:eastAsia="zh-CN"/>
              </w:rPr>
              <w:t>1</w:t>
            </w:r>
          </w:p>
        </w:tc>
        <w:tc>
          <w:tcPr>
            <w:tcW w:w="1030" w:type="dxa"/>
            <w:vAlign w:val="center"/>
          </w:tcPr>
          <w:p w14:paraId="6F5F446B">
            <w:pPr>
              <w:widowControl/>
              <w:spacing w:line="240" w:lineRule="auto"/>
              <w:jc w:val="center"/>
              <w:rPr>
                <w:sz w:val="18"/>
                <w:szCs w:val="18"/>
                <w:highlight w:val="none"/>
              </w:rPr>
            </w:pPr>
            <w:r>
              <w:rPr>
                <w:rFonts w:hint="eastAsia" w:ascii="宋体" w:hAnsi="宋体" w:eastAsia="宋体" w:cs="宋体"/>
                <w:color w:val="000000"/>
                <w:kern w:val="0"/>
                <w:sz w:val="21"/>
                <w:szCs w:val="21"/>
                <w:lang w:val="en-US" w:eastAsia="zh-CN"/>
              </w:rPr>
              <w:t>纤维阻燃面料窗</w:t>
            </w:r>
            <w:r>
              <w:rPr>
                <w:rFonts w:hint="eastAsia" w:ascii="宋体" w:hAnsi="宋体" w:eastAsia="宋体" w:cs="宋体"/>
                <w:color w:val="000000"/>
                <w:kern w:val="0"/>
                <w:sz w:val="21"/>
                <w:szCs w:val="21"/>
              </w:rPr>
              <w:t>帘</w:t>
            </w:r>
          </w:p>
        </w:tc>
        <w:tc>
          <w:tcPr>
            <w:tcW w:w="5197" w:type="dxa"/>
            <w:vAlign w:val="center"/>
          </w:tcPr>
          <w:p w14:paraId="71A2C01A">
            <w:pPr>
              <w:numPr>
                <w:ilvl w:val="0"/>
                <w:numId w:val="0"/>
              </w:numPr>
              <w:spacing w:before="35" w:line="240" w:lineRule="auto"/>
              <w:ind w:right="572" w:rightChars="0"/>
              <w:jc w:val="left"/>
              <w:rPr>
                <w:rFonts w:hint="eastAsia" w:ascii="宋体" w:hAnsi="宋体" w:eastAsia="宋体" w:cs="宋体"/>
                <w:spacing w:val="5"/>
                <w:sz w:val="21"/>
                <w:szCs w:val="21"/>
                <w:highlight w:val="none"/>
              </w:rPr>
            </w:pPr>
            <w:r>
              <w:rPr>
                <w:rFonts w:hint="eastAsia" w:ascii="宋体" w:hAnsi="宋体" w:eastAsia="宋体" w:cs="宋体"/>
                <w:spacing w:val="5"/>
                <w:sz w:val="21"/>
                <w:szCs w:val="21"/>
                <w:highlight w:val="none"/>
              </w:rPr>
              <w:t>1、成分：98.4%%聚酯纤维，1.6%其他纤维；净单位面积质量480g/？O±5g （依据GB/T  4669-2008标准）</w:t>
            </w:r>
          </w:p>
          <w:p w14:paraId="528DB172">
            <w:pPr>
              <w:numPr>
                <w:ilvl w:val="0"/>
                <w:numId w:val="0"/>
              </w:numPr>
              <w:spacing w:before="35" w:line="240" w:lineRule="auto"/>
              <w:ind w:right="572" w:rightChars="0"/>
              <w:jc w:val="left"/>
              <w:rPr>
                <w:rFonts w:hint="eastAsia" w:ascii="宋体" w:hAnsi="宋体" w:eastAsia="宋体" w:cs="宋体"/>
                <w:spacing w:val="5"/>
                <w:sz w:val="21"/>
                <w:szCs w:val="21"/>
                <w:highlight w:val="none"/>
              </w:rPr>
            </w:pPr>
            <w:r>
              <w:rPr>
                <w:rFonts w:hint="eastAsia" w:ascii="宋体" w:hAnsi="宋体" w:eastAsia="宋体" w:cs="宋体"/>
                <w:spacing w:val="5"/>
                <w:sz w:val="21"/>
                <w:szCs w:val="21"/>
                <w:highlight w:val="none"/>
              </w:rPr>
              <w:t>★2、甲醛含量）（mg/kg)：未检出 （依据GB/T  2912.1-2009标准）</w:t>
            </w:r>
          </w:p>
          <w:p w14:paraId="09B5B04A">
            <w:pPr>
              <w:numPr>
                <w:ilvl w:val="0"/>
                <w:numId w:val="0"/>
              </w:numPr>
              <w:spacing w:before="35" w:line="240" w:lineRule="auto"/>
              <w:ind w:right="572" w:rightChars="0"/>
              <w:jc w:val="left"/>
              <w:rPr>
                <w:rFonts w:hint="eastAsia" w:ascii="宋体" w:hAnsi="宋体" w:eastAsia="宋体" w:cs="宋体"/>
                <w:spacing w:val="5"/>
                <w:sz w:val="21"/>
                <w:szCs w:val="21"/>
                <w:highlight w:val="none"/>
              </w:rPr>
            </w:pPr>
            <w:r>
              <w:rPr>
                <w:rFonts w:hint="eastAsia" w:ascii="宋体" w:hAnsi="宋体" w:eastAsia="宋体" w:cs="宋体"/>
                <w:spacing w:val="5"/>
                <w:sz w:val="21"/>
                <w:szCs w:val="21"/>
                <w:highlight w:val="none"/>
              </w:rPr>
              <w:t>★3、PH值：5.0-7.0  （依据GB/T  7573-2009标准）</w:t>
            </w:r>
          </w:p>
          <w:p w14:paraId="62F6FCE9">
            <w:pPr>
              <w:numPr>
                <w:ilvl w:val="0"/>
                <w:numId w:val="0"/>
              </w:numPr>
              <w:spacing w:before="35" w:line="240" w:lineRule="auto"/>
              <w:ind w:right="572" w:rightChars="0"/>
              <w:jc w:val="left"/>
              <w:rPr>
                <w:rFonts w:hint="eastAsia" w:ascii="宋体" w:hAnsi="宋体" w:eastAsia="宋体" w:cs="宋体"/>
                <w:spacing w:val="5"/>
                <w:sz w:val="21"/>
                <w:szCs w:val="21"/>
                <w:highlight w:val="none"/>
              </w:rPr>
            </w:pPr>
            <w:r>
              <w:rPr>
                <w:rFonts w:hint="eastAsia" w:ascii="宋体" w:hAnsi="宋体" w:eastAsia="宋体" w:cs="宋体"/>
                <w:spacing w:val="5"/>
                <w:sz w:val="21"/>
                <w:szCs w:val="21"/>
                <w:highlight w:val="none"/>
              </w:rPr>
              <w:t>★4、异味：无 （依据GB/T  18401-2010标准）</w:t>
            </w:r>
          </w:p>
          <w:p w14:paraId="2949FE22">
            <w:pPr>
              <w:numPr>
                <w:ilvl w:val="0"/>
                <w:numId w:val="0"/>
              </w:numPr>
              <w:spacing w:before="35" w:line="240" w:lineRule="auto"/>
              <w:ind w:right="572" w:rightChars="0"/>
              <w:jc w:val="left"/>
              <w:rPr>
                <w:rFonts w:hint="eastAsia" w:ascii="宋体" w:hAnsi="宋体" w:eastAsia="宋体" w:cs="宋体"/>
                <w:spacing w:val="5"/>
                <w:sz w:val="21"/>
                <w:szCs w:val="21"/>
                <w:highlight w:val="none"/>
              </w:rPr>
            </w:pPr>
            <w:r>
              <w:rPr>
                <w:rFonts w:hint="eastAsia" w:ascii="宋体" w:hAnsi="宋体" w:eastAsia="宋体" w:cs="宋体"/>
                <w:spacing w:val="5"/>
                <w:sz w:val="21"/>
                <w:szCs w:val="21"/>
                <w:highlight w:val="none"/>
              </w:rPr>
              <w:t>5、可分解致癌芳香胺染料（水洗前）（mg/kg)：未检出 （依据GB/T  17592-2011标准）</w:t>
            </w:r>
          </w:p>
          <w:p w14:paraId="6B6A2BF0">
            <w:pPr>
              <w:numPr>
                <w:ilvl w:val="0"/>
                <w:numId w:val="0"/>
              </w:numPr>
              <w:spacing w:before="35" w:line="240" w:lineRule="auto"/>
              <w:ind w:right="572" w:rightChars="0"/>
              <w:jc w:val="left"/>
              <w:rPr>
                <w:rFonts w:hint="eastAsia" w:ascii="宋体" w:hAnsi="宋体" w:eastAsia="宋体" w:cs="宋体"/>
                <w:spacing w:val="5"/>
                <w:sz w:val="21"/>
                <w:szCs w:val="21"/>
                <w:highlight w:val="none"/>
              </w:rPr>
            </w:pPr>
            <w:r>
              <w:rPr>
                <w:rFonts w:hint="eastAsia" w:ascii="宋体" w:hAnsi="宋体" w:eastAsia="宋体" w:cs="宋体"/>
                <w:spacing w:val="5"/>
                <w:sz w:val="21"/>
                <w:szCs w:val="21"/>
                <w:highlight w:val="none"/>
              </w:rPr>
              <w:t>6、耐皂洗色牢度：变色≥4级，沾色≥4级（依据GB/T  19817-2005标准）</w:t>
            </w:r>
          </w:p>
          <w:p w14:paraId="0553EA99">
            <w:pPr>
              <w:numPr>
                <w:ilvl w:val="0"/>
                <w:numId w:val="0"/>
              </w:numPr>
              <w:spacing w:before="35" w:line="240" w:lineRule="auto"/>
              <w:ind w:right="572" w:rightChars="0"/>
              <w:jc w:val="left"/>
              <w:rPr>
                <w:rFonts w:hint="eastAsia" w:ascii="宋体" w:hAnsi="宋体" w:eastAsia="宋体" w:cs="宋体"/>
                <w:spacing w:val="5"/>
                <w:sz w:val="21"/>
                <w:szCs w:val="21"/>
                <w:highlight w:val="none"/>
              </w:rPr>
            </w:pPr>
            <w:r>
              <w:rPr>
                <w:rFonts w:hint="eastAsia" w:ascii="宋体" w:hAnsi="宋体" w:eastAsia="宋体" w:cs="宋体"/>
                <w:spacing w:val="5"/>
                <w:sz w:val="21"/>
                <w:szCs w:val="21"/>
                <w:highlight w:val="none"/>
              </w:rPr>
              <w:t>7、耐干洗色牢度：变色≥4级（依据GB/T  5711-2015标准）</w:t>
            </w:r>
          </w:p>
          <w:p w14:paraId="724947F7">
            <w:pPr>
              <w:numPr>
                <w:ilvl w:val="0"/>
                <w:numId w:val="0"/>
              </w:numPr>
              <w:spacing w:before="35" w:line="240" w:lineRule="auto"/>
              <w:ind w:right="572" w:rightChars="0"/>
              <w:jc w:val="left"/>
              <w:rPr>
                <w:rFonts w:hint="eastAsia" w:ascii="宋体" w:hAnsi="宋体" w:eastAsia="宋体" w:cs="宋体"/>
                <w:spacing w:val="5"/>
                <w:sz w:val="21"/>
                <w:szCs w:val="21"/>
                <w:highlight w:val="none"/>
              </w:rPr>
            </w:pPr>
            <w:r>
              <w:rPr>
                <w:rFonts w:hint="eastAsia" w:ascii="宋体" w:hAnsi="宋体" w:eastAsia="宋体" w:cs="宋体"/>
                <w:spacing w:val="5"/>
                <w:sz w:val="21"/>
                <w:szCs w:val="21"/>
                <w:highlight w:val="none"/>
              </w:rPr>
              <w:t>8、耐水色牢度：变色≥4级，沾色≥4级（依据GB/T  5713-2013标准）</w:t>
            </w:r>
          </w:p>
          <w:p w14:paraId="63C5376B">
            <w:pPr>
              <w:numPr>
                <w:ilvl w:val="0"/>
                <w:numId w:val="0"/>
              </w:numPr>
              <w:spacing w:before="35" w:line="240" w:lineRule="auto"/>
              <w:ind w:right="572" w:rightChars="0"/>
              <w:jc w:val="left"/>
              <w:rPr>
                <w:rFonts w:hint="eastAsia" w:ascii="宋体" w:hAnsi="宋体" w:eastAsia="宋体" w:cs="宋体"/>
                <w:spacing w:val="5"/>
                <w:sz w:val="21"/>
                <w:szCs w:val="21"/>
                <w:highlight w:val="none"/>
              </w:rPr>
            </w:pPr>
            <w:r>
              <w:rPr>
                <w:rFonts w:hint="eastAsia" w:ascii="宋体" w:hAnsi="宋体" w:eastAsia="宋体" w:cs="宋体"/>
                <w:spacing w:val="5"/>
                <w:sz w:val="21"/>
                <w:szCs w:val="21"/>
                <w:highlight w:val="none"/>
              </w:rPr>
              <w:t>9、耐酸汗渍色牢度：变色≥4级，沾色≥4级（依据GB/T  3922-2013标准）</w:t>
            </w:r>
          </w:p>
          <w:p w14:paraId="7EF94B49">
            <w:pPr>
              <w:numPr>
                <w:ilvl w:val="0"/>
                <w:numId w:val="0"/>
              </w:numPr>
              <w:spacing w:before="35" w:line="240" w:lineRule="auto"/>
              <w:ind w:right="572" w:rightChars="0"/>
              <w:jc w:val="left"/>
              <w:rPr>
                <w:rFonts w:hint="eastAsia" w:ascii="宋体" w:hAnsi="宋体" w:eastAsia="宋体" w:cs="宋体"/>
                <w:spacing w:val="5"/>
                <w:sz w:val="21"/>
                <w:szCs w:val="21"/>
                <w:highlight w:val="none"/>
              </w:rPr>
            </w:pPr>
            <w:r>
              <w:rPr>
                <w:rFonts w:hint="eastAsia" w:ascii="宋体" w:hAnsi="宋体" w:eastAsia="宋体" w:cs="宋体"/>
                <w:spacing w:val="5"/>
                <w:sz w:val="21"/>
                <w:szCs w:val="21"/>
                <w:highlight w:val="none"/>
              </w:rPr>
              <w:t>10、耐碱汗渍色牢度：变色≥4级，沾色≥4级（依据GB/T  3922-2013标准）</w:t>
            </w:r>
          </w:p>
          <w:p w14:paraId="6317150F">
            <w:pPr>
              <w:numPr>
                <w:ilvl w:val="0"/>
                <w:numId w:val="0"/>
              </w:numPr>
              <w:spacing w:before="35" w:line="240" w:lineRule="auto"/>
              <w:ind w:right="572" w:rightChars="0"/>
              <w:jc w:val="left"/>
              <w:rPr>
                <w:rFonts w:hint="eastAsia" w:ascii="宋体" w:hAnsi="宋体" w:eastAsia="宋体" w:cs="宋体"/>
                <w:spacing w:val="5"/>
                <w:sz w:val="21"/>
                <w:szCs w:val="21"/>
                <w:highlight w:val="none"/>
              </w:rPr>
            </w:pPr>
            <w:r>
              <w:rPr>
                <w:rFonts w:hint="eastAsia" w:ascii="宋体" w:hAnsi="宋体" w:eastAsia="宋体" w:cs="宋体"/>
                <w:spacing w:val="5"/>
                <w:sz w:val="21"/>
                <w:szCs w:val="21"/>
                <w:highlight w:val="none"/>
              </w:rPr>
              <w:t>11、耐摩擦色牢度：干摩≥4级，湿摩≥4级（依据GB/T  3920-2008标准）</w:t>
            </w:r>
          </w:p>
          <w:p w14:paraId="4062A1B7">
            <w:pPr>
              <w:numPr>
                <w:ilvl w:val="0"/>
                <w:numId w:val="0"/>
              </w:numPr>
              <w:spacing w:before="35" w:line="240" w:lineRule="auto"/>
              <w:ind w:right="572" w:rightChars="0"/>
              <w:jc w:val="left"/>
              <w:rPr>
                <w:rFonts w:hint="eastAsia" w:ascii="宋体" w:hAnsi="宋体" w:eastAsia="宋体" w:cs="宋体"/>
                <w:spacing w:val="5"/>
                <w:sz w:val="21"/>
                <w:szCs w:val="21"/>
                <w:highlight w:val="none"/>
              </w:rPr>
            </w:pPr>
            <w:r>
              <w:rPr>
                <w:rFonts w:hint="eastAsia" w:ascii="宋体" w:hAnsi="宋体" w:eastAsia="宋体" w:cs="宋体"/>
                <w:spacing w:val="5"/>
                <w:sz w:val="21"/>
                <w:szCs w:val="21"/>
                <w:highlight w:val="none"/>
              </w:rPr>
              <w:t>12、耐光色牢度：≥5级（依据GB/T  19817-2005标准）</w:t>
            </w:r>
          </w:p>
          <w:p w14:paraId="112CEBE5">
            <w:pPr>
              <w:numPr>
                <w:ilvl w:val="0"/>
                <w:numId w:val="0"/>
              </w:numPr>
              <w:spacing w:before="35" w:line="240" w:lineRule="auto"/>
              <w:ind w:right="572" w:rightChars="0"/>
              <w:jc w:val="left"/>
              <w:rPr>
                <w:rFonts w:hint="eastAsia" w:ascii="宋体" w:hAnsi="宋体" w:eastAsia="宋体" w:cs="宋体"/>
                <w:spacing w:val="5"/>
                <w:sz w:val="21"/>
                <w:szCs w:val="21"/>
                <w:highlight w:val="none"/>
              </w:rPr>
            </w:pPr>
            <w:r>
              <w:rPr>
                <w:rFonts w:hint="eastAsia" w:ascii="宋体" w:hAnsi="宋体" w:eastAsia="宋体" w:cs="宋体"/>
                <w:spacing w:val="5"/>
                <w:sz w:val="21"/>
                <w:szCs w:val="21"/>
                <w:highlight w:val="none"/>
              </w:rPr>
              <w:t>13、耐唾液色牢度：≥4级（依据GB/T  18886-2019标准）</w:t>
            </w:r>
          </w:p>
          <w:p w14:paraId="1F82FC14">
            <w:pPr>
              <w:numPr>
                <w:ilvl w:val="0"/>
                <w:numId w:val="0"/>
              </w:numPr>
              <w:spacing w:before="35" w:line="240" w:lineRule="auto"/>
              <w:ind w:right="572" w:rightChars="0"/>
              <w:jc w:val="left"/>
              <w:rPr>
                <w:rFonts w:hint="eastAsia" w:ascii="宋体" w:hAnsi="宋体" w:eastAsia="宋体" w:cs="宋体"/>
                <w:spacing w:val="5"/>
                <w:sz w:val="21"/>
                <w:szCs w:val="21"/>
                <w:highlight w:val="none"/>
              </w:rPr>
            </w:pPr>
            <w:r>
              <w:rPr>
                <w:rFonts w:hint="eastAsia" w:ascii="宋体" w:hAnsi="宋体" w:eastAsia="宋体" w:cs="宋体"/>
                <w:spacing w:val="5"/>
                <w:sz w:val="21"/>
                <w:szCs w:val="21"/>
                <w:highlight w:val="none"/>
              </w:rPr>
              <w:t>14、耐热压色牢度：≥4级（依据GB/T 6152-1997标准）</w:t>
            </w:r>
          </w:p>
          <w:p w14:paraId="73E6356C">
            <w:pPr>
              <w:numPr>
                <w:ilvl w:val="0"/>
                <w:numId w:val="0"/>
              </w:numPr>
              <w:spacing w:before="35" w:line="240" w:lineRule="auto"/>
              <w:ind w:right="572" w:rightChars="0"/>
              <w:jc w:val="left"/>
              <w:rPr>
                <w:rFonts w:hint="eastAsia" w:ascii="宋体" w:hAnsi="宋体" w:eastAsia="宋体" w:cs="宋体"/>
                <w:spacing w:val="5"/>
                <w:sz w:val="21"/>
                <w:szCs w:val="21"/>
                <w:highlight w:val="none"/>
              </w:rPr>
            </w:pPr>
            <w:r>
              <w:rPr>
                <w:rFonts w:hint="eastAsia" w:ascii="宋体" w:hAnsi="宋体" w:eastAsia="宋体" w:cs="宋体"/>
                <w:spacing w:val="5"/>
                <w:sz w:val="21"/>
                <w:szCs w:val="21"/>
                <w:highlight w:val="none"/>
              </w:rPr>
              <w:t>15、酚黄变色牢度：≥4级（依据GB/T 29778-2013标准）</w:t>
            </w:r>
          </w:p>
          <w:p w14:paraId="617FE7F5">
            <w:pPr>
              <w:numPr>
                <w:ilvl w:val="0"/>
                <w:numId w:val="0"/>
              </w:numPr>
              <w:spacing w:before="35" w:line="240" w:lineRule="auto"/>
              <w:ind w:right="572" w:rightChars="0"/>
              <w:jc w:val="left"/>
              <w:rPr>
                <w:rFonts w:hint="eastAsia" w:ascii="宋体" w:hAnsi="宋体" w:eastAsia="宋体" w:cs="宋体"/>
                <w:spacing w:val="5"/>
                <w:sz w:val="21"/>
                <w:szCs w:val="21"/>
                <w:highlight w:val="none"/>
              </w:rPr>
            </w:pPr>
            <w:r>
              <w:rPr>
                <w:rFonts w:hint="eastAsia" w:ascii="宋体" w:hAnsi="宋体" w:eastAsia="宋体" w:cs="宋体"/>
                <w:spacing w:val="5"/>
                <w:sz w:val="21"/>
                <w:szCs w:val="21"/>
                <w:highlight w:val="none"/>
              </w:rPr>
              <w:t>16、PVC色迁移：≥4级（依据ISO 105-X10：1993标准）</w:t>
            </w:r>
          </w:p>
          <w:p w14:paraId="0E8ECF8A">
            <w:pPr>
              <w:numPr>
                <w:ilvl w:val="0"/>
                <w:numId w:val="0"/>
              </w:numPr>
              <w:spacing w:before="35" w:line="240" w:lineRule="auto"/>
              <w:ind w:right="572" w:rightChars="0"/>
              <w:jc w:val="left"/>
              <w:rPr>
                <w:rFonts w:hint="eastAsia" w:ascii="宋体" w:hAnsi="宋体" w:eastAsia="宋体" w:cs="宋体"/>
                <w:spacing w:val="5"/>
                <w:sz w:val="21"/>
                <w:szCs w:val="21"/>
                <w:highlight w:val="none"/>
              </w:rPr>
            </w:pPr>
            <w:r>
              <w:rPr>
                <w:rFonts w:hint="eastAsia" w:ascii="宋体" w:hAnsi="宋体" w:eastAsia="宋体" w:cs="宋体"/>
                <w:spacing w:val="5"/>
                <w:sz w:val="21"/>
                <w:szCs w:val="21"/>
                <w:highlight w:val="none"/>
              </w:rPr>
              <w:t>17、耐磨性能：≥30000转（根据 GB/T 21196.2-2007标准）</w:t>
            </w:r>
          </w:p>
          <w:p w14:paraId="10087428">
            <w:pPr>
              <w:numPr>
                <w:ilvl w:val="0"/>
                <w:numId w:val="0"/>
              </w:numPr>
              <w:spacing w:before="35" w:line="240" w:lineRule="auto"/>
              <w:ind w:right="572" w:rightChars="0"/>
              <w:jc w:val="left"/>
              <w:rPr>
                <w:rFonts w:hint="eastAsia" w:ascii="宋体" w:hAnsi="宋体" w:eastAsia="宋体" w:cs="宋体"/>
                <w:spacing w:val="5"/>
                <w:sz w:val="21"/>
                <w:szCs w:val="21"/>
                <w:highlight w:val="none"/>
              </w:rPr>
            </w:pPr>
            <w:r>
              <w:rPr>
                <w:rFonts w:hint="eastAsia" w:ascii="宋体" w:hAnsi="宋体" w:eastAsia="宋体" w:cs="宋体"/>
                <w:spacing w:val="5"/>
                <w:sz w:val="21"/>
                <w:szCs w:val="21"/>
                <w:highlight w:val="none"/>
              </w:rPr>
              <w:t>18、织物密度：经密730根/10cm±10根，纬密220根/10cm±10根 （依据GB/T  4668-1995标准）</w:t>
            </w:r>
          </w:p>
          <w:p w14:paraId="13E3826F">
            <w:pPr>
              <w:numPr>
                <w:ilvl w:val="0"/>
                <w:numId w:val="0"/>
              </w:numPr>
              <w:spacing w:before="35" w:line="240" w:lineRule="auto"/>
              <w:ind w:right="572" w:rightChars="0"/>
              <w:jc w:val="left"/>
              <w:rPr>
                <w:rFonts w:hint="eastAsia" w:ascii="宋体" w:hAnsi="宋体" w:eastAsia="宋体" w:cs="宋体"/>
                <w:spacing w:val="5"/>
                <w:sz w:val="21"/>
                <w:szCs w:val="21"/>
                <w:highlight w:val="none"/>
              </w:rPr>
            </w:pPr>
            <w:r>
              <w:rPr>
                <w:rFonts w:hint="eastAsia" w:ascii="宋体" w:hAnsi="宋体" w:eastAsia="宋体" w:cs="宋体"/>
                <w:spacing w:val="5"/>
                <w:sz w:val="21"/>
                <w:szCs w:val="21"/>
                <w:highlight w:val="none"/>
              </w:rPr>
              <w:t>19、断裂强力：经向：≥1600N，纬向：≥1100N (依据GB/T 3923.1-2013标准)</w:t>
            </w:r>
          </w:p>
          <w:p w14:paraId="34C9DF3E">
            <w:pPr>
              <w:numPr>
                <w:ilvl w:val="0"/>
                <w:numId w:val="0"/>
              </w:numPr>
              <w:spacing w:before="35" w:line="240" w:lineRule="auto"/>
              <w:ind w:right="572" w:rightChars="0"/>
              <w:jc w:val="left"/>
              <w:rPr>
                <w:rFonts w:hint="eastAsia" w:ascii="宋体" w:hAnsi="宋体" w:eastAsia="宋体" w:cs="宋体"/>
                <w:spacing w:val="5"/>
                <w:sz w:val="21"/>
                <w:szCs w:val="21"/>
                <w:highlight w:val="none"/>
              </w:rPr>
            </w:pPr>
            <w:r>
              <w:rPr>
                <w:rFonts w:hint="eastAsia" w:ascii="宋体" w:hAnsi="宋体" w:eastAsia="宋体" w:cs="宋体"/>
                <w:spacing w:val="5"/>
                <w:sz w:val="21"/>
                <w:szCs w:val="21"/>
                <w:highlight w:val="none"/>
              </w:rPr>
              <w:t>20、纱线抗滑移：经向≤2mm，纬向≤2mm  (依据GB/T 19817-2005标准)</w:t>
            </w:r>
          </w:p>
          <w:p w14:paraId="2D1CB4F7">
            <w:pPr>
              <w:numPr>
                <w:ilvl w:val="0"/>
                <w:numId w:val="0"/>
              </w:numPr>
              <w:spacing w:before="35" w:line="240" w:lineRule="auto"/>
              <w:ind w:right="572" w:rightChars="0"/>
              <w:jc w:val="left"/>
              <w:rPr>
                <w:rFonts w:hint="eastAsia" w:ascii="宋体" w:hAnsi="宋体" w:eastAsia="宋体" w:cs="宋体"/>
                <w:spacing w:val="5"/>
                <w:sz w:val="21"/>
                <w:szCs w:val="21"/>
                <w:highlight w:val="none"/>
              </w:rPr>
            </w:pPr>
            <w:r>
              <w:rPr>
                <w:rFonts w:hint="eastAsia" w:ascii="宋体" w:hAnsi="宋体" w:eastAsia="宋体" w:cs="宋体"/>
                <w:spacing w:val="5"/>
                <w:sz w:val="21"/>
                <w:szCs w:val="21"/>
                <w:highlight w:val="none"/>
              </w:rPr>
              <w:t>21、拆下纱线线密度（水洗前）：经纱：20±5；纬纱：雪尼尔纱：250±5；棉型纱：65±5；特种纱：30±5(依据GB/T 29256.5-2012标准)</w:t>
            </w:r>
          </w:p>
          <w:p w14:paraId="522C04F9">
            <w:pPr>
              <w:numPr>
                <w:ilvl w:val="0"/>
                <w:numId w:val="0"/>
              </w:numPr>
              <w:spacing w:before="35" w:line="240" w:lineRule="auto"/>
              <w:ind w:right="572" w:rightChars="0"/>
              <w:jc w:val="left"/>
              <w:rPr>
                <w:rFonts w:hint="eastAsia" w:ascii="宋体" w:hAnsi="宋体" w:eastAsia="宋体" w:cs="宋体"/>
                <w:spacing w:val="5"/>
                <w:sz w:val="21"/>
                <w:szCs w:val="21"/>
                <w:highlight w:val="none"/>
              </w:rPr>
            </w:pPr>
            <w:r>
              <w:rPr>
                <w:rFonts w:hint="eastAsia" w:ascii="宋体" w:hAnsi="宋体" w:eastAsia="宋体" w:cs="宋体"/>
                <w:spacing w:val="5"/>
                <w:sz w:val="21"/>
                <w:szCs w:val="21"/>
                <w:highlight w:val="none"/>
              </w:rPr>
              <w:t>22、防紫外线性能的判定：UPF值≥500，UPF等级＞50，T（UVA）AV/% ≤ 0.2，T（UVB）AV/%  ≤0.1 (依据GB/T 18830-2009标准)</w:t>
            </w:r>
          </w:p>
          <w:p w14:paraId="6D73D9DE">
            <w:pPr>
              <w:numPr>
                <w:ilvl w:val="0"/>
                <w:numId w:val="0"/>
              </w:numPr>
              <w:spacing w:before="35" w:line="240" w:lineRule="auto"/>
              <w:ind w:right="572" w:rightChars="0"/>
              <w:jc w:val="left"/>
              <w:rPr>
                <w:rFonts w:hint="eastAsia" w:ascii="宋体" w:hAnsi="宋体" w:eastAsia="宋体" w:cs="宋体"/>
                <w:spacing w:val="5"/>
                <w:sz w:val="21"/>
                <w:szCs w:val="21"/>
                <w:highlight w:val="none"/>
              </w:rPr>
            </w:pPr>
            <w:r>
              <w:rPr>
                <w:rFonts w:hint="eastAsia" w:ascii="宋体" w:hAnsi="宋体" w:eastAsia="宋体" w:cs="宋体"/>
                <w:spacing w:val="5"/>
                <w:sz w:val="21"/>
                <w:szCs w:val="21"/>
                <w:highlight w:val="none"/>
              </w:rPr>
              <w:t>23、透气率:  ≥135mm/s （依据GB/T 5453-1997标准）</w:t>
            </w:r>
          </w:p>
          <w:p w14:paraId="7EAA1869">
            <w:pPr>
              <w:numPr>
                <w:ilvl w:val="0"/>
                <w:numId w:val="0"/>
              </w:numPr>
              <w:spacing w:before="35" w:line="240" w:lineRule="auto"/>
              <w:ind w:right="572" w:rightChars="0"/>
              <w:jc w:val="left"/>
              <w:rPr>
                <w:rFonts w:hint="eastAsia" w:ascii="宋体" w:hAnsi="宋体" w:eastAsia="宋体" w:cs="宋体"/>
                <w:spacing w:val="5"/>
                <w:sz w:val="21"/>
                <w:szCs w:val="21"/>
                <w:highlight w:val="none"/>
              </w:rPr>
            </w:pPr>
            <w:r>
              <w:rPr>
                <w:rFonts w:hint="eastAsia" w:ascii="宋体" w:hAnsi="宋体" w:eastAsia="宋体" w:cs="宋体"/>
                <w:spacing w:val="5"/>
                <w:sz w:val="21"/>
                <w:szCs w:val="21"/>
                <w:highlight w:val="none"/>
              </w:rPr>
              <w:t>24、透光率：≤2%（依据FZ/T 01009-2008标准）</w:t>
            </w:r>
          </w:p>
          <w:p w14:paraId="2C74B20F">
            <w:pPr>
              <w:numPr>
                <w:ilvl w:val="0"/>
                <w:numId w:val="0"/>
              </w:numPr>
              <w:spacing w:before="35" w:line="240" w:lineRule="auto"/>
              <w:ind w:right="572" w:rightChars="0"/>
              <w:jc w:val="left"/>
              <w:rPr>
                <w:rFonts w:hint="eastAsia" w:ascii="宋体" w:hAnsi="宋体" w:eastAsia="宋体" w:cs="宋体"/>
                <w:spacing w:val="5"/>
                <w:sz w:val="21"/>
                <w:szCs w:val="21"/>
                <w:highlight w:val="none"/>
              </w:rPr>
            </w:pPr>
            <w:r>
              <w:rPr>
                <w:rFonts w:hint="eastAsia" w:ascii="宋体" w:hAnsi="宋体" w:eastAsia="宋体" w:cs="宋体"/>
                <w:spacing w:val="5"/>
                <w:sz w:val="21"/>
                <w:szCs w:val="21"/>
                <w:highlight w:val="none"/>
              </w:rPr>
              <w:t>25、易去污性：≥4级（依据FZ/T 01118-2012标准）</w:t>
            </w:r>
          </w:p>
          <w:p w14:paraId="11E73185">
            <w:pPr>
              <w:numPr>
                <w:ilvl w:val="0"/>
                <w:numId w:val="0"/>
              </w:numPr>
              <w:spacing w:before="35" w:line="240" w:lineRule="auto"/>
              <w:ind w:right="572" w:rightChars="0"/>
              <w:jc w:val="left"/>
              <w:rPr>
                <w:rFonts w:hint="eastAsia" w:ascii="宋体" w:hAnsi="宋体" w:eastAsia="宋体" w:cs="宋体"/>
                <w:spacing w:val="5"/>
                <w:sz w:val="21"/>
                <w:szCs w:val="21"/>
                <w:highlight w:val="none"/>
              </w:rPr>
            </w:pPr>
            <w:r>
              <w:rPr>
                <w:rFonts w:hint="eastAsia" w:ascii="宋体" w:hAnsi="宋体" w:eastAsia="宋体" w:cs="宋体"/>
                <w:spacing w:val="5"/>
                <w:sz w:val="21"/>
                <w:szCs w:val="21"/>
                <w:highlight w:val="none"/>
              </w:rPr>
              <w:t>26、水洗尺寸变化率：经向：-2~+2，纬向：-0.5~+0.5 (依据GB/T 19817-2005标准)</w:t>
            </w:r>
          </w:p>
          <w:p w14:paraId="6BB48BD4">
            <w:pPr>
              <w:numPr>
                <w:ilvl w:val="0"/>
                <w:numId w:val="0"/>
              </w:numPr>
              <w:spacing w:before="35" w:line="240" w:lineRule="auto"/>
              <w:ind w:right="572" w:rightChars="0"/>
              <w:jc w:val="left"/>
              <w:rPr>
                <w:rFonts w:hint="eastAsia" w:ascii="宋体" w:hAnsi="宋体" w:eastAsia="宋体" w:cs="宋体"/>
                <w:spacing w:val="5"/>
                <w:sz w:val="21"/>
                <w:szCs w:val="21"/>
                <w:highlight w:val="none"/>
              </w:rPr>
            </w:pPr>
            <w:r>
              <w:rPr>
                <w:rFonts w:hint="eastAsia" w:ascii="宋体" w:hAnsi="宋体" w:eastAsia="宋体" w:cs="宋体"/>
                <w:spacing w:val="5"/>
                <w:sz w:val="21"/>
                <w:szCs w:val="21"/>
                <w:highlight w:val="none"/>
              </w:rPr>
              <w:t>27、水洗后外观：色差≥4级，起球≥4级，扭曲情况：无明显扭曲（根据ISO 6330-2012标准）</w:t>
            </w:r>
          </w:p>
          <w:p w14:paraId="0EBDDE85">
            <w:pPr>
              <w:numPr>
                <w:ilvl w:val="0"/>
                <w:numId w:val="0"/>
              </w:numPr>
              <w:spacing w:before="35" w:line="240" w:lineRule="auto"/>
              <w:ind w:right="572" w:rightChars="0"/>
              <w:jc w:val="left"/>
              <w:rPr>
                <w:rFonts w:hint="eastAsia" w:ascii="宋体" w:hAnsi="宋体" w:eastAsia="宋体" w:cs="宋体"/>
                <w:spacing w:val="5"/>
                <w:sz w:val="21"/>
                <w:szCs w:val="21"/>
                <w:highlight w:val="none"/>
              </w:rPr>
            </w:pPr>
            <w:r>
              <w:rPr>
                <w:rFonts w:hint="eastAsia" w:ascii="宋体" w:hAnsi="宋体" w:eastAsia="宋体" w:cs="宋体"/>
                <w:spacing w:val="5"/>
                <w:sz w:val="21"/>
                <w:szCs w:val="21"/>
                <w:highlight w:val="none"/>
              </w:rPr>
              <w:t>28、静电半衰期：50s ±10s（根据GB/T12703.1-2008标准)</w:t>
            </w:r>
          </w:p>
          <w:p w14:paraId="7F6733B9">
            <w:pPr>
              <w:numPr>
                <w:ilvl w:val="0"/>
                <w:numId w:val="0"/>
              </w:numPr>
              <w:spacing w:before="35" w:line="240" w:lineRule="auto"/>
              <w:ind w:right="572" w:rightChars="0"/>
              <w:jc w:val="left"/>
              <w:rPr>
                <w:rFonts w:hint="eastAsia" w:ascii="宋体" w:hAnsi="宋体" w:eastAsia="宋体" w:cs="宋体"/>
                <w:spacing w:val="5"/>
                <w:sz w:val="21"/>
                <w:szCs w:val="21"/>
                <w:highlight w:val="none"/>
              </w:rPr>
            </w:pPr>
            <w:r>
              <w:rPr>
                <w:rFonts w:hint="eastAsia" w:ascii="宋体" w:hAnsi="宋体" w:eastAsia="宋体" w:cs="宋体"/>
                <w:spacing w:val="5"/>
                <w:sz w:val="21"/>
                <w:szCs w:val="21"/>
                <w:highlight w:val="none"/>
              </w:rPr>
              <w:t>29、表面电阻率：5.3*10^14Ω（根据GB/T12703.4-2010标准）</w:t>
            </w:r>
          </w:p>
          <w:p w14:paraId="1D28AEC4">
            <w:pPr>
              <w:numPr>
                <w:ilvl w:val="0"/>
                <w:numId w:val="0"/>
              </w:numPr>
              <w:spacing w:before="35" w:line="240" w:lineRule="auto"/>
              <w:ind w:right="572" w:rightChars="0"/>
              <w:jc w:val="left"/>
              <w:rPr>
                <w:rFonts w:hint="eastAsia" w:ascii="宋体" w:hAnsi="宋体" w:eastAsia="宋体" w:cs="宋体"/>
                <w:spacing w:val="5"/>
                <w:sz w:val="21"/>
                <w:szCs w:val="21"/>
                <w:highlight w:val="none"/>
              </w:rPr>
            </w:pPr>
            <w:r>
              <w:rPr>
                <w:rFonts w:hint="eastAsia" w:ascii="宋体" w:hAnsi="宋体" w:eastAsia="宋体" w:cs="宋体"/>
                <w:spacing w:val="5"/>
                <w:sz w:val="21"/>
                <w:szCs w:val="21"/>
                <w:highlight w:val="none"/>
              </w:rPr>
              <w:t>30、电荷面密度：2μC/？O±0.5（根据GB/T12703.2-2009标准）</w:t>
            </w:r>
          </w:p>
          <w:p w14:paraId="4635A222">
            <w:pPr>
              <w:numPr>
                <w:ilvl w:val="0"/>
                <w:numId w:val="0"/>
              </w:numPr>
              <w:spacing w:before="35" w:line="240" w:lineRule="auto"/>
              <w:ind w:right="572" w:rightChars="0"/>
              <w:jc w:val="left"/>
              <w:rPr>
                <w:rFonts w:hint="eastAsia" w:ascii="宋体" w:hAnsi="宋体" w:eastAsia="宋体" w:cs="宋体"/>
                <w:spacing w:val="5"/>
                <w:sz w:val="21"/>
                <w:szCs w:val="21"/>
                <w:highlight w:val="none"/>
              </w:rPr>
            </w:pPr>
            <w:r>
              <w:rPr>
                <w:rFonts w:hint="eastAsia" w:ascii="宋体" w:hAnsi="宋体" w:eastAsia="宋体" w:cs="宋体"/>
                <w:spacing w:val="5"/>
                <w:sz w:val="21"/>
                <w:szCs w:val="21"/>
                <w:highlight w:val="none"/>
              </w:rPr>
              <w:t>31、五氯苯酚（水洗前) / (mg/kg)：未检出（依据GB/T 18414.1-2006标准）</w:t>
            </w:r>
          </w:p>
          <w:p w14:paraId="4520E5DD">
            <w:pPr>
              <w:numPr>
                <w:ilvl w:val="0"/>
                <w:numId w:val="0"/>
              </w:numPr>
              <w:spacing w:before="35" w:line="240" w:lineRule="auto"/>
              <w:ind w:right="572" w:rightChars="0"/>
              <w:jc w:val="left"/>
              <w:rPr>
                <w:rFonts w:hint="eastAsia" w:ascii="宋体" w:hAnsi="宋体" w:eastAsia="宋体" w:cs="宋体"/>
                <w:spacing w:val="5"/>
                <w:sz w:val="21"/>
                <w:szCs w:val="21"/>
                <w:highlight w:val="none"/>
              </w:rPr>
            </w:pPr>
            <w:r>
              <w:rPr>
                <w:rFonts w:hint="eastAsia" w:ascii="宋体" w:hAnsi="宋体" w:eastAsia="宋体" w:cs="宋体"/>
                <w:spacing w:val="5"/>
                <w:sz w:val="21"/>
                <w:szCs w:val="21"/>
                <w:highlight w:val="none"/>
              </w:rPr>
              <w:t>32、四氯苯酚（水洗前) / (mg/kg)：未检出（依据GB/T 18414.1-2006标准）</w:t>
            </w:r>
          </w:p>
          <w:p w14:paraId="096857D2">
            <w:pPr>
              <w:numPr>
                <w:ilvl w:val="0"/>
                <w:numId w:val="0"/>
              </w:numPr>
              <w:spacing w:before="35" w:line="240" w:lineRule="auto"/>
              <w:ind w:right="572" w:rightChars="0"/>
              <w:jc w:val="left"/>
              <w:rPr>
                <w:rFonts w:hint="eastAsia" w:ascii="宋体" w:hAnsi="宋体" w:eastAsia="宋体" w:cs="宋体"/>
                <w:spacing w:val="5"/>
                <w:sz w:val="21"/>
                <w:szCs w:val="21"/>
                <w:highlight w:val="none"/>
              </w:rPr>
            </w:pPr>
            <w:r>
              <w:rPr>
                <w:rFonts w:hint="eastAsia" w:ascii="宋体" w:hAnsi="宋体" w:eastAsia="宋体" w:cs="宋体"/>
                <w:spacing w:val="5"/>
                <w:sz w:val="21"/>
                <w:szCs w:val="21"/>
                <w:highlight w:val="none"/>
              </w:rPr>
              <w:t>33、致癌染料（水洗前）/（mg/kg)：未检出 （依据GB/T  20382-2006标准）</w:t>
            </w:r>
          </w:p>
          <w:p w14:paraId="5465273E">
            <w:pPr>
              <w:numPr>
                <w:ilvl w:val="0"/>
                <w:numId w:val="0"/>
              </w:numPr>
              <w:spacing w:before="35" w:line="240" w:lineRule="auto"/>
              <w:ind w:right="572" w:rightChars="0"/>
              <w:jc w:val="left"/>
              <w:rPr>
                <w:rFonts w:hint="eastAsia" w:ascii="宋体" w:hAnsi="宋体" w:eastAsia="宋体" w:cs="宋体"/>
                <w:spacing w:val="5"/>
                <w:sz w:val="21"/>
                <w:szCs w:val="21"/>
                <w:highlight w:val="none"/>
              </w:rPr>
            </w:pPr>
            <w:r>
              <w:rPr>
                <w:rFonts w:hint="eastAsia" w:ascii="宋体" w:hAnsi="宋体" w:eastAsia="宋体" w:cs="宋体"/>
                <w:spacing w:val="5"/>
                <w:sz w:val="21"/>
                <w:szCs w:val="21"/>
                <w:highlight w:val="none"/>
              </w:rPr>
              <w:t>34、致敏性分散染料（水洗前）/ （mg/kg)：未检出 (依据GB/T 20383-2006标准)</w:t>
            </w:r>
          </w:p>
          <w:p w14:paraId="2D8BE0C4">
            <w:pPr>
              <w:numPr>
                <w:ilvl w:val="0"/>
                <w:numId w:val="0"/>
              </w:numPr>
              <w:spacing w:before="35" w:line="240" w:lineRule="auto"/>
              <w:ind w:right="572" w:rightChars="0"/>
              <w:jc w:val="left"/>
              <w:rPr>
                <w:rFonts w:hint="eastAsia" w:ascii="宋体" w:hAnsi="宋体" w:eastAsia="宋体" w:cs="宋体"/>
                <w:spacing w:val="5"/>
                <w:sz w:val="21"/>
                <w:szCs w:val="21"/>
                <w:highlight w:val="none"/>
              </w:rPr>
            </w:pPr>
            <w:r>
              <w:rPr>
                <w:rFonts w:hint="eastAsia" w:ascii="宋体" w:hAnsi="宋体" w:eastAsia="宋体" w:cs="宋体"/>
                <w:spacing w:val="5"/>
                <w:sz w:val="21"/>
                <w:szCs w:val="21"/>
                <w:highlight w:val="none"/>
              </w:rPr>
              <w:t>35、邻苯二甲酸脂（水洗前） / （mg/kg)：未检出（依据EN  14372:2004标准）</w:t>
            </w:r>
          </w:p>
          <w:p w14:paraId="223EECF0">
            <w:pPr>
              <w:numPr>
                <w:ilvl w:val="0"/>
                <w:numId w:val="0"/>
              </w:numPr>
              <w:spacing w:before="35" w:line="240" w:lineRule="auto"/>
              <w:ind w:right="572" w:rightChars="0"/>
              <w:jc w:val="left"/>
              <w:rPr>
                <w:rFonts w:hint="eastAsia" w:ascii="宋体" w:hAnsi="宋体" w:eastAsia="宋体" w:cs="宋体"/>
                <w:spacing w:val="5"/>
                <w:sz w:val="21"/>
                <w:szCs w:val="21"/>
                <w:highlight w:val="none"/>
              </w:rPr>
            </w:pPr>
            <w:r>
              <w:rPr>
                <w:rFonts w:hint="eastAsia" w:ascii="宋体" w:hAnsi="宋体" w:eastAsia="宋体" w:cs="宋体"/>
                <w:spacing w:val="5"/>
                <w:sz w:val="21"/>
                <w:szCs w:val="21"/>
                <w:highlight w:val="none"/>
              </w:rPr>
              <w:t>36、重金属可萃取量（砷、镉、钴、铬、铜、镍、铅、锑）：未检出（依据GB/T  17593.2-2007标准）</w:t>
            </w:r>
          </w:p>
          <w:p w14:paraId="23121924">
            <w:pPr>
              <w:numPr>
                <w:ilvl w:val="0"/>
                <w:numId w:val="0"/>
              </w:numPr>
              <w:spacing w:before="35" w:line="240" w:lineRule="auto"/>
              <w:ind w:right="572" w:rightChars="0"/>
              <w:jc w:val="left"/>
              <w:rPr>
                <w:rFonts w:hint="eastAsia" w:ascii="宋体" w:hAnsi="宋体" w:eastAsia="宋体" w:cs="宋体"/>
                <w:spacing w:val="5"/>
                <w:sz w:val="21"/>
                <w:szCs w:val="21"/>
                <w:highlight w:val="none"/>
              </w:rPr>
            </w:pPr>
            <w:r>
              <w:rPr>
                <w:rFonts w:hint="eastAsia" w:ascii="宋体" w:hAnsi="宋体" w:eastAsia="宋体" w:cs="宋体"/>
                <w:spacing w:val="5"/>
                <w:sz w:val="21"/>
                <w:szCs w:val="21"/>
                <w:highlight w:val="none"/>
              </w:rPr>
              <w:t>37、六价铬含量：未检出(依据GB/T 17593.3-2006标准)</w:t>
            </w:r>
          </w:p>
          <w:p w14:paraId="58222C26">
            <w:pPr>
              <w:numPr>
                <w:ilvl w:val="0"/>
                <w:numId w:val="0"/>
              </w:numPr>
              <w:spacing w:before="35" w:line="240" w:lineRule="auto"/>
              <w:ind w:right="572" w:rightChars="0"/>
              <w:jc w:val="left"/>
              <w:rPr>
                <w:rFonts w:hint="eastAsia" w:ascii="宋体" w:hAnsi="宋体" w:eastAsia="宋体" w:cs="宋体"/>
                <w:spacing w:val="5"/>
                <w:sz w:val="21"/>
                <w:szCs w:val="21"/>
                <w:highlight w:val="none"/>
              </w:rPr>
            </w:pPr>
            <w:r>
              <w:rPr>
                <w:rFonts w:hint="eastAsia" w:ascii="宋体" w:hAnsi="宋体" w:eastAsia="宋体" w:cs="宋体"/>
                <w:spacing w:val="5"/>
                <w:sz w:val="21"/>
                <w:szCs w:val="21"/>
                <w:highlight w:val="none"/>
              </w:rPr>
              <w:t>38、富马酸二甲酯：未检出(依据GB/T 28190-2011标准)</w:t>
            </w:r>
          </w:p>
          <w:p w14:paraId="6A4A9246">
            <w:pPr>
              <w:numPr>
                <w:ilvl w:val="0"/>
                <w:numId w:val="0"/>
              </w:numPr>
              <w:spacing w:before="35" w:line="240" w:lineRule="auto"/>
              <w:ind w:right="572" w:rightChars="0"/>
              <w:jc w:val="left"/>
              <w:rPr>
                <w:rFonts w:hint="eastAsia" w:ascii="宋体" w:hAnsi="宋体" w:eastAsia="宋体" w:cs="宋体"/>
                <w:spacing w:val="5"/>
                <w:sz w:val="21"/>
                <w:szCs w:val="21"/>
                <w:highlight w:val="none"/>
              </w:rPr>
            </w:pPr>
            <w:r>
              <w:rPr>
                <w:rFonts w:hint="eastAsia" w:ascii="宋体" w:hAnsi="宋体" w:eastAsia="宋体" w:cs="宋体"/>
                <w:spacing w:val="5"/>
                <w:sz w:val="21"/>
                <w:szCs w:val="21"/>
                <w:highlight w:val="none"/>
              </w:rPr>
              <w:t>39、遮光率：≥99%（依据FZ/T 62025-2015标准）</w:t>
            </w:r>
          </w:p>
          <w:p w14:paraId="143851E2">
            <w:pPr>
              <w:numPr>
                <w:ilvl w:val="0"/>
                <w:numId w:val="0"/>
              </w:numPr>
              <w:spacing w:before="35" w:line="240" w:lineRule="auto"/>
              <w:ind w:right="572" w:rightChars="0"/>
              <w:jc w:val="left"/>
              <w:rPr>
                <w:rFonts w:hint="eastAsia" w:ascii="宋体" w:hAnsi="宋体" w:eastAsia="宋体" w:cs="宋体"/>
                <w:spacing w:val="5"/>
                <w:sz w:val="21"/>
                <w:szCs w:val="21"/>
                <w:highlight w:val="none"/>
              </w:rPr>
            </w:pPr>
            <w:r>
              <w:rPr>
                <w:rFonts w:hint="eastAsia" w:ascii="宋体" w:hAnsi="宋体" w:eastAsia="宋体" w:cs="宋体"/>
                <w:spacing w:val="5"/>
                <w:sz w:val="21"/>
                <w:szCs w:val="21"/>
                <w:highlight w:val="none"/>
              </w:rPr>
              <w:t>40、重金属汞可萃取量：未检出（依据GB/T  17593.4-2006标准）</w:t>
            </w:r>
          </w:p>
          <w:p w14:paraId="63AFC13B">
            <w:pPr>
              <w:numPr>
                <w:ilvl w:val="0"/>
                <w:numId w:val="0"/>
              </w:numPr>
              <w:spacing w:before="35" w:line="240" w:lineRule="auto"/>
              <w:ind w:right="572" w:rightChars="0"/>
              <w:jc w:val="left"/>
              <w:rPr>
                <w:rFonts w:hint="eastAsia" w:ascii="宋体" w:hAnsi="宋体" w:eastAsia="宋体" w:cs="宋体"/>
                <w:spacing w:val="5"/>
                <w:sz w:val="21"/>
                <w:szCs w:val="21"/>
                <w:highlight w:val="none"/>
              </w:rPr>
            </w:pPr>
            <w:r>
              <w:rPr>
                <w:rFonts w:hint="eastAsia" w:ascii="宋体" w:hAnsi="宋体" w:eastAsia="宋体" w:cs="宋体"/>
                <w:spacing w:val="5"/>
                <w:sz w:val="21"/>
                <w:szCs w:val="21"/>
                <w:highlight w:val="none"/>
              </w:rPr>
              <w:t>41、氯化苯和氯化钾苯：未检出（依据GB/T  20384-2006标准）</w:t>
            </w:r>
          </w:p>
          <w:p w14:paraId="16268F91">
            <w:pPr>
              <w:numPr>
                <w:ilvl w:val="0"/>
                <w:numId w:val="0"/>
              </w:numPr>
              <w:spacing w:before="35" w:line="240" w:lineRule="auto"/>
              <w:ind w:right="572" w:rightChars="0"/>
              <w:jc w:val="left"/>
              <w:rPr>
                <w:rFonts w:hint="eastAsia" w:ascii="宋体" w:hAnsi="宋体" w:eastAsia="宋体" w:cs="宋体"/>
                <w:spacing w:val="5"/>
                <w:sz w:val="21"/>
                <w:szCs w:val="21"/>
                <w:highlight w:val="none"/>
              </w:rPr>
            </w:pPr>
            <w:r>
              <w:rPr>
                <w:rFonts w:hint="eastAsia" w:ascii="宋体" w:hAnsi="宋体" w:eastAsia="宋体" w:cs="宋体"/>
                <w:spacing w:val="5"/>
                <w:sz w:val="21"/>
                <w:szCs w:val="21"/>
                <w:highlight w:val="none"/>
              </w:rPr>
              <w:t>42、有机锡化合物：未检出（依据GB/T  20385.1-2021标准）</w:t>
            </w:r>
          </w:p>
          <w:p w14:paraId="6A0098EA">
            <w:pPr>
              <w:numPr>
                <w:ilvl w:val="0"/>
                <w:numId w:val="0"/>
              </w:numPr>
              <w:spacing w:before="35" w:line="240" w:lineRule="auto"/>
              <w:ind w:right="572" w:rightChars="0"/>
              <w:jc w:val="left"/>
              <w:rPr>
                <w:rFonts w:hint="eastAsia" w:ascii="宋体" w:hAnsi="宋体" w:eastAsia="宋体" w:cs="宋体"/>
                <w:spacing w:val="5"/>
                <w:sz w:val="21"/>
                <w:szCs w:val="21"/>
                <w:highlight w:val="none"/>
              </w:rPr>
            </w:pPr>
            <w:r>
              <w:rPr>
                <w:rFonts w:hint="eastAsia" w:ascii="宋体" w:hAnsi="宋体" w:eastAsia="宋体" w:cs="宋体"/>
                <w:spacing w:val="5"/>
                <w:sz w:val="21"/>
                <w:szCs w:val="21"/>
                <w:highlight w:val="none"/>
              </w:rPr>
              <w:t>43、悬垂性：≥60%（依据GB/T 23329-2009标准）</w:t>
            </w:r>
          </w:p>
          <w:p w14:paraId="21CB9F8E">
            <w:pPr>
              <w:numPr>
                <w:ilvl w:val="0"/>
                <w:numId w:val="0"/>
              </w:numPr>
              <w:spacing w:before="35" w:line="240" w:lineRule="auto"/>
              <w:ind w:right="572" w:rightChars="0"/>
              <w:jc w:val="left"/>
              <w:rPr>
                <w:rFonts w:hint="eastAsia" w:ascii="宋体" w:hAnsi="宋体" w:eastAsia="宋体" w:cs="宋体"/>
                <w:spacing w:val="5"/>
                <w:sz w:val="21"/>
                <w:szCs w:val="21"/>
                <w:highlight w:val="none"/>
              </w:rPr>
            </w:pPr>
            <w:r>
              <w:rPr>
                <w:rFonts w:hint="eastAsia" w:ascii="宋体" w:hAnsi="宋体" w:eastAsia="宋体" w:cs="宋体"/>
                <w:spacing w:val="5"/>
                <w:sz w:val="21"/>
                <w:szCs w:val="21"/>
                <w:highlight w:val="none"/>
              </w:rPr>
              <w:t>44、残余表面活性剂：未检出（依据GB/T 23322-2018标准）</w:t>
            </w:r>
          </w:p>
          <w:p w14:paraId="1A8E0865">
            <w:pPr>
              <w:numPr>
                <w:ilvl w:val="0"/>
                <w:numId w:val="0"/>
              </w:numPr>
              <w:spacing w:before="35" w:line="240" w:lineRule="auto"/>
              <w:ind w:right="572" w:rightChars="0"/>
              <w:jc w:val="left"/>
              <w:rPr>
                <w:rFonts w:hint="eastAsia" w:ascii="宋体" w:hAnsi="宋体" w:eastAsia="宋体" w:cs="宋体"/>
                <w:spacing w:val="5"/>
                <w:sz w:val="21"/>
                <w:szCs w:val="21"/>
                <w:highlight w:val="none"/>
              </w:rPr>
            </w:pPr>
            <w:r>
              <w:rPr>
                <w:rFonts w:hint="eastAsia" w:ascii="宋体" w:hAnsi="宋体" w:eastAsia="宋体" w:cs="宋体"/>
                <w:spacing w:val="5"/>
                <w:sz w:val="21"/>
                <w:szCs w:val="21"/>
                <w:highlight w:val="none"/>
              </w:rPr>
              <w:t>45、抗菌性能：金黄色葡萄球菌≥95%，大肠杆菌≥90%，白色念珠菌≥95% (依据GB/T 20944.3-2008标准)</w:t>
            </w:r>
          </w:p>
          <w:p w14:paraId="064F4236">
            <w:pPr>
              <w:numPr>
                <w:ilvl w:val="0"/>
                <w:numId w:val="0"/>
              </w:numPr>
              <w:spacing w:before="35" w:line="240" w:lineRule="auto"/>
              <w:ind w:right="572" w:rightChars="0"/>
              <w:jc w:val="left"/>
              <w:rPr>
                <w:rFonts w:hint="eastAsia" w:ascii="宋体" w:hAnsi="宋体" w:eastAsia="宋体" w:cs="宋体"/>
                <w:spacing w:val="5"/>
                <w:sz w:val="21"/>
                <w:szCs w:val="21"/>
                <w:highlight w:val="none"/>
              </w:rPr>
            </w:pPr>
            <w:r>
              <w:rPr>
                <w:rFonts w:hint="eastAsia" w:ascii="宋体" w:hAnsi="宋体" w:eastAsia="宋体" w:cs="宋体"/>
                <w:spacing w:val="5"/>
                <w:sz w:val="21"/>
                <w:szCs w:val="21"/>
                <w:highlight w:val="none"/>
              </w:rPr>
              <w:t>46、阻燃性能：水洗61次后仍符合GB8624-2012中B1级要求</w:t>
            </w:r>
          </w:p>
          <w:p w14:paraId="11E04678">
            <w:pPr>
              <w:numPr>
                <w:ilvl w:val="0"/>
                <w:numId w:val="0"/>
              </w:numPr>
              <w:spacing w:before="35" w:line="240" w:lineRule="auto"/>
              <w:ind w:right="572" w:rightChars="0"/>
              <w:jc w:val="left"/>
              <w:rPr>
                <w:rFonts w:hint="eastAsia" w:ascii="宋体" w:hAnsi="宋体" w:eastAsia="宋体" w:cs="宋体"/>
                <w:spacing w:val="5"/>
                <w:sz w:val="21"/>
                <w:szCs w:val="21"/>
                <w:highlight w:val="none"/>
              </w:rPr>
            </w:pPr>
            <w:r>
              <w:rPr>
                <w:rFonts w:hint="eastAsia" w:ascii="宋体" w:hAnsi="宋体" w:eastAsia="宋体" w:cs="宋体"/>
                <w:spacing w:val="5"/>
                <w:sz w:val="21"/>
                <w:szCs w:val="21"/>
                <w:highlight w:val="none"/>
              </w:rPr>
              <w:t>★47、损毁长度: 经向：≤150mm，纬向：≤150mm （依据GB/T  5455-2014标准）</w:t>
            </w:r>
          </w:p>
          <w:p w14:paraId="66E32A0D">
            <w:pPr>
              <w:numPr>
                <w:ilvl w:val="0"/>
                <w:numId w:val="0"/>
              </w:numPr>
              <w:spacing w:before="35" w:line="240" w:lineRule="auto"/>
              <w:ind w:right="572" w:rightChars="0"/>
              <w:jc w:val="left"/>
              <w:rPr>
                <w:rFonts w:hint="eastAsia" w:ascii="宋体" w:hAnsi="宋体" w:eastAsia="宋体" w:cs="宋体"/>
                <w:spacing w:val="5"/>
                <w:sz w:val="21"/>
                <w:szCs w:val="21"/>
                <w:highlight w:val="none"/>
              </w:rPr>
            </w:pPr>
            <w:r>
              <w:rPr>
                <w:rFonts w:hint="eastAsia" w:ascii="宋体" w:hAnsi="宋体" w:eastAsia="宋体" w:cs="宋体"/>
                <w:spacing w:val="5"/>
                <w:sz w:val="21"/>
                <w:szCs w:val="21"/>
                <w:highlight w:val="none"/>
              </w:rPr>
              <w:t>★48、 续燃时间: 经向: ≤5s，纬向：≤5s （依据GB/T  5455-2014标准）</w:t>
            </w:r>
          </w:p>
          <w:p w14:paraId="196576DC">
            <w:pPr>
              <w:numPr>
                <w:ilvl w:val="0"/>
                <w:numId w:val="0"/>
              </w:numPr>
              <w:spacing w:before="35" w:line="240" w:lineRule="auto"/>
              <w:ind w:right="572" w:rightChars="0"/>
              <w:jc w:val="left"/>
              <w:rPr>
                <w:rFonts w:hint="eastAsia" w:ascii="宋体" w:hAnsi="宋体" w:eastAsia="宋体" w:cs="宋体"/>
                <w:spacing w:val="5"/>
                <w:sz w:val="21"/>
                <w:szCs w:val="21"/>
                <w:highlight w:val="none"/>
              </w:rPr>
            </w:pPr>
            <w:r>
              <w:rPr>
                <w:rFonts w:hint="eastAsia" w:ascii="宋体" w:hAnsi="宋体" w:eastAsia="宋体" w:cs="宋体"/>
                <w:spacing w:val="5"/>
                <w:sz w:val="21"/>
                <w:szCs w:val="21"/>
                <w:highlight w:val="none"/>
              </w:rPr>
              <w:t>★49、阴燃时间：经向: ≤15s，纬向：≤15s （依据GB/T  5455-2014标准）</w:t>
            </w:r>
          </w:p>
          <w:p w14:paraId="5FAF473A">
            <w:pPr>
              <w:numPr>
                <w:ilvl w:val="0"/>
                <w:numId w:val="0"/>
              </w:numPr>
              <w:spacing w:before="35" w:line="240" w:lineRule="auto"/>
              <w:ind w:right="572" w:rightChars="0"/>
              <w:jc w:val="left"/>
              <w:rPr>
                <w:rFonts w:hint="eastAsia" w:ascii="宋体" w:hAnsi="宋体" w:eastAsia="宋体" w:cs="宋体"/>
                <w:spacing w:val="5"/>
                <w:sz w:val="21"/>
                <w:szCs w:val="21"/>
                <w:highlight w:val="none"/>
              </w:rPr>
            </w:pPr>
            <w:r>
              <w:rPr>
                <w:rFonts w:hint="eastAsia" w:ascii="宋体" w:hAnsi="宋体" w:eastAsia="宋体" w:cs="宋体"/>
                <w:spacing w:val="5"/>
                <w:sz w:val="21"/>
                <w:szCs w:val="21"/>
                <w:highlight w:val="none"/>
              </w:rPr>
              <w:t>★50、氧指数OI/%：≥32 （依据GB/T  5454-1997标准）</w:t>
            </w:r>
          </w:p>
          <w:p w14:paraId="16D3FAAD">
            <w:pPr>
              <w:numPr>
                <w:ilvl w:val="0"/>
                <w:numId w:val="0"/>
              </w:numPr>
              <w:spacing w:before="35" w:line="240" w:lineRule="auto"/>
              <w:ind w:right="572" w:rightChars="0"/>
              <w:jc w:val="left"/>
              <w:rPr>
                <w:rFonts w:hint="eastAsia" w:ascii="宋体" w:hAnsi="宋体" w:eastAsia="宋体" w:cs="宋体"/>
                <w:spacing w:val="5"/>
                <w:sz w:val="21"/>
                <w:szCs w:val="21"/>
                <w:highlight w:val="none"/>
              </w:rPr>
            </w:pPr>
            <w:r>
              <w:rPr>
                <w:rFonts w:hint="eastAsia" w:ascii="宋体" w:hAnsi="宋体" w:eastAsia="宋体" w:cs="宋体"/>
                <w:spacing w:val="5"/>
                <w:sz w:val="21"/>
                <w:szCs w:val="21"/>
                <w:highlight w:val="none"/>
              </w:rPr>
              <w:t>51、防霉等级：≤1级（根据 GB/T 24346-2009标准）</w:t>
            </w:r>
          </w:p>
          <w:p w14:paraId="42C77B58">
            <w:pPr>
              <w:numPr>
                <w:ilvl w:val="0"/>
                <w:numId w:val="0"/>
              </w:numPr>
              <w:spacing w:before="35" w:line="240" w:lineRule="auto"/>
              <w:ind w:right="572" w:rightChars="0"/>
              <w:jc w:val="left"/>
              <w:rPr>
                <w:rFonts w:hint="eastAsia" w:ascii="宋体" w:hAnsi="宋体" w:eastAsia="宋体" w:cs="宋体"/>
                <w:spacing w:val="5"/>
                <w:sz w:val="21"/>
                <w:szCs w:val="21"/>
                <w:highlight w:val="green"/>
              </w:rPr>
            </w:pPr>
            <w:r>
              <w:rPr>
                <w:rFonts w:hint="eastAsia" w:ascii="宋体" w:hAnsi="宋体" w:eastAsia="宋体" w:cs="宋体"/>
                <w:color w:val="auto"/>
                <w:sz w:val="21"/>
                <w:szCs w:val="21"/>
                <w:highlight w:val="magenta"/>
                <w:lang w:val="en-US" w:eastAsia="zh-CN"/>
              </w:rPr>
              <w:t>注：中标后签订合同前中标人需提供有效期内含以上各项技术指标的第三方权威检测机构出具的带有国家计量认证（CMA）标识的检测报告复印件给采购人核验，如不达标，采购人有权拒绝签订合同，并解除中标单位的中标资格。</w:t>
            </w:r>
          </w:p>
          <w:p w14:paraId="56E86F77">
            <w:pPr>
              <w:numPr>
                <w:ilvl w:val="0"/>
                <w:numId w:val="0"/>
              </w:numPr>
              <w:spacing w:before="35" w:line="240" w:lineRule="auto"/>
              <w:ind w:right="572" w:rightChars="0"/>
              <w:jc w:val="left"/>
              <w:rPr>
                <w:rFonts w:hint="eastAsia" w:ascii="宋体" w:hAnsi="宋体" w:eastAsia="宋体" w:cs="宋体"/>
                <w:spacing w:val="5"/>
                <w:sz w:val="21"/>
                <w:szCs w:val="21"/>
                <w:highlight w:val="none"/>
              </w:rPr>
            </w:pPr>
            <w:r>
              <w:rPr>
                <w:rFonts w:hint="eastAsia" w:ascii="宋体" w:hAnsi="宋体" w:eastAsia="宋体" w:cs="宋体"/>
                <w:spacing w:val="5"/>
                <w:sz w:val="21"/>
                <w:szCs w:val="21"/>
                <w:highlight w:val="none"/>
                <w:lang w:val="en-US" w:eastAsia="zh-CN"/>
              </w:rPr>
              <w:t>52、</w:t>
            </w:r>
            <w:r>
              <w:rPr>
                <w:rFonts w:hint="eastAsia" w:ascii="宋体" w:hAnsi="宋体" w:eastAsia="宋体" w:cs="宋体"/>
                <w:spacing w:val="5"/>
                <w:sz w:val="21"/>
                <w:szCs w:val="21"/>
                <w:highlight w:val="none"/>
              </w:rPr>
              <w:t>窗帘布打皱比例1：2</w:t>
            </w:r>
          </w:p>
          <w:p w14:paraId="5A99A2B8">
            <w:pPr>
              <w:numPr>
                <w:ilvl w:val="0"/>
                <w:numId w:val="0"/>
              </w:numPr>
              <w:spacing w:before="36" w:line="240" w:lineRule="auto"/>
              <w:ind w:left="40" w:leftChars="0" w:right="534" w:rightChars="0" w:firstLine="0" w:firstLineChars="0"/>
              <w:jc w:val="left"/>
              <w:rPr>
                <w:sz w:val="18"/>
                <w:szCs w:val="18"/>
                <w:highlight w:val="none"/>
              </w:rPr>
            </w:pPr>
            <w:r>
              <w:rPr>
                <w:rFonts w:hint="eastAsia" w:ascii="宋体" w:hAnsi="宋体" w:eastAsia="宋体" w:cs="宋体"/>
                <w:spacing w:val="5"/>
                <w:sz w:val="21"/>
                <w:szCs w:val="21"/>
                <w:highlight w:val="none"/>
                <w:lang w:val="en-US" w:eastAsia="zh-CN"/>
              </w:rPr>
              <w:t>53、</w:t>
            </w:r>
            <w:r>
              <w:rPr>
                <w:rFonts w:hint="eastAsia" w:ascii="宋体" w:hAnsi="宋体" w:eastAsia="宋体" w:cs="宋体"/>
                <w:spacing w:val="5"/>
                <w:sz w:val="21"/>
                <w:szCs w:val="21"/>
                <w:highlight w:val="none"/>
              </w:rPr>
              <w:t>幅宽(cm)：</w:t>
            </w:r>
            <w:r>
              <w:rPr>
                <w:rFonts w:hint="eastAsia" w:ascii="宋体" w:hAnsi="宋体" w:eastAsia="宋体" w:cs="宋体"/>
                <w:spacing w:val="5"/>
                <w:sz w:val="21"/>
                <w:szCs w:val="21"/>
                <w:highlight w:val="none"/>
                <w:lang w:val="en-US" w:eastAsia="zh-CN"/>
              </w:rPr>
              <w:t>280</w:t>
            </w:r>
            <w:r>
              <w:rPr>
                <w:rFonts w:hint="eastAsia" w:ascii="宋体" w:hAnsi="宋体" w:eastAsia="宋体" w:cs="宋体"/>
                <w:spacing w:val="5"/>
                <w:sz w:val="21"/>
                <w:szCs w:val="21"/>
                <w:highlight w:val="none"/>
              </w:rPr>
              <w:t>±2；</w:t>
            </w:r>
          </w:p>
        </w:tc>
        <w:tc>
          <w:tcPr>
            <w:tcW w:w="990" w:type="dxa"/>
          </w:tcPr>
          <w:p w14:paraId="7ED26C65">
            <w:pPr>
              <w:keepNext w:val="0"/>
              <w:keepLines w:val="0"/>
              <w:pageBreakBefore w:val="0"/>
              <w:kinsoku/>
              <w:wordWrap/>
              <w:overflowPunct/>
              <w:topLinePunct w:val="0"/>
              <w:bidi w:val="0"/>
              <w:adjustRightInd/>
              <w:snapToGrid/>
              <w:jc w:val="center"/>
              <w:textAlignment w:val="auto"/>
              <w:rPr>
                <w:rFonts w:ascii="宋体" w:hAnsi="宋体"/>
                <w:sz w:val="18"/>
                <w:szCs w:val="18"/>
                <w:highlight w:val="none"/>
              </w:rPr>
            </w:pPr>
          </w:p>
        </w:tc>
        <w:tc>
          <w:tcPr>
            <w:tcW w:w="1020" w:type="dxa"/>
          </w:tcPr>
          <w:p w14:paraId="7741F5E2">
            <w:pPr>
              <w:keepNext w:val="0"/>
              <w:keepLines w:val="0"/>
              <w:pageBreakBefore w:val="0"/>
              <w:kinsoku/>
              <w:wordWrap/>
              <w:overflowPunct/>
              <w:topLinePunct w:val="0"/>
              <w:bidi w:val="0"/>
              <w:adjustRightInd/>
              <w:snapToGrid/>
              <w:jc w:val="center"/>
              <w:textAlignment w:val="auto"/>
              <w:rPr>
                <w:rFonts w:ascii="宋体" w:hAnsi="宋体"/>
                <w:sz w:val="18"/>
                <w:szCs w:val="18"/>
                <w:highlight w:val="none"/>
              </w:rPr>
            </w:pPr>
          </w:p>
        </w:tc>
        <w:tc>
          <w:tcPr>
            <w:tcW w:w="713" w:type="dxa"/>
          </w:tcPr>
          <w:p w14:paraId="278DD464">
            <w:pPr>
              <w:keepNext w:val="0"/>
              <w:keepLines w:val="0"/>
              <w:pageBreakBefore w:val="0"/>
              <w:kinsoku/>
              <w:wordWrap/>
              <w:overflowPunct/>
              <w:topLinePunct w:val="0"/>
              <w:bidi w:val="0"/>
              <w:adjustRightInd/>
              <w:snapToGrid/>
              <w:jc w:val="center"/>
              <w:textAlignment w:val="auto"/>
              <w:rPr>
                <w:rFonts w:ascii="宋体" w:hAnsi="宋体"/>
                <w:sz w:val="18"/>
                <w:szCs w:val="18"/>
                <w:highlight w:val="none"/>
              </w:rPr>
            </w:pPr>
          </w:p>
        </w:tc>
      </w:tr>
      <w:tr w14:paraId="1A0FF5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851" w:type="dxa"/>
            <w:vAlign w:val="center"/>
          </w:tcPr>
          <w:p w14:paraId="5042E4C8">
            <w:pPr>
              <w:keepNext w:val="0"/>
              <w:keepLines w:val="0"/>
              <w:pageBreakBefore w:val="0"/>
              <w:kinsoku/>
              <w:wordWrap/>
              <w:overflowPunct/>
              <w:topLinePunct w:val="0"/>
              <w:autoSpaceDE w:val="0"/>
              <w:autoSpaceDN w:val="0"/>
              <w:bidi w:val="0"/>
              <w:adjustRightInd/>
              <w:snapToGrid/>
              <w:spacing w:line="240" w:lineRule="auto"/>
              <w:jc w:val="center"/>
              <w:textAlignment w:val="auto"/>
              <w:outlineLvl w:val="0"/>
              <w:rPr>
                <w:rFonts w:ascii="宋体" w:hAnsi="宋体"/>
                <w:sz w:val="18"/>
                <w:szCs w:val="18"/>
                <w:highlight w:val="none"/>
              </w:rPr>
            </w:pPr>
            <w:r>
              <w:rPr>
                <w:rFonts w:hint="eastAsia" w:ascii="宋体" w:hAnsi="宋体" w:eastAsia="宋体" w:cs="宋体"/>
                <w:sz w:val="18"/>
                <w:szCs w:val="18"/>
                <w:highlight w:val="none"/>
                <w:lang w:val="en-US" w:eastAsia="zh-CN"/>
              </w:rPr>
              <w:t>2</w:t>
            </w:r>
          </w:p>
        </w:tc>
        <w:tc>
          <w:tcPr>
            <w:tcW w:w="1030" w:type="dxa"/>
            <w:vAlign w:val="center"/>
          </w:tcPr>
          <w:p w14:paraId="46990EE4">
            <w:pPr>
              <w:spacing w:line="240" w:lineRule="auto"/>
              <w:jc w:val="center"/>
              <w:rPr>
                <w:sz w:val="18"/>
                <w:szCs w:val="18"/>
                <w:highlight w:val="none"/>
              </w:rPr>
            </w:pPr>
            <w:r>
              <w:rPr>
                <w:rFonts w:hint="eastAsia" w:ascii="宋体" w:hAnsi="宋体" w:eastAsia="宋体" w:cs="宋体"/>
                <w:kern w:val="0"/>
                <w:sz w:val="21"/>
                <w:szCs w:val="21"/>
                <w:lang w:val="en-US" w:eastAsia="zh-CN"/>
              </w:rPr>
              <w:t>罗马杆、</w:t>
            </w:r>
            <w:r>
              <w:rPr>
                <w:rFonts w:hint="eastAsia" w:ascii="宋体" w:hAnsi="宋体" w:eastAsia="宋体" w:cs="宋体"/>
                <w:sz w:val="21"/>
                <w:szCs w:val="21"/>
              </w:rPr>
              <w:t>窗帘轨道</w:t>
            </w:r>
            <w:r>
              <w:rPr>
                <w:rFonts w:hint="eastAsia" w:ascii="宋体" w:hAnsi="宋体" w:eastAsia="宋体" w:cs="宋体"/>
                <w:kern w:val="0"/>
                <w:sz w:val="21"/>
                <w:szCs w:val="21"/>
                <w:lang w:val="en-US" w:eastAsia="zh-CN"/>
              </w:rPr>
              <w:t>及</w:t>
            </w:r>
            <w:r>
              <w:rPr>
                <w:rFonts w:hint="eastAsia" w:ascii="宋体" w:hAnsi="宋体" w:eastAsia="宋体" w:cs="宋体"/>
                <w:sz w:val="21"/>
                <w:szCs w:val="21"/>
                <w:lang w:val="en-US" w:eastAsia="zh-CN"/>
              </w:rPr>
              <w:t>辅材</w:t>
            </w:r>
          </w:p>
        </w:tc>
        <w:tc>
          <w:tcPr>
            <w:tcW w:w="5197" w:type="dxa"/>
            <w:vAlign w:val="center"/>
          </w:tcPr>
          <w:p w14:paraId="755B91AF">
            <w:pPr>
              <w:pStyle w:val="21"/>
              <w:spacing w:line="240" w:lineRule="auto"/>
              <w:rPr>
                <w:rFonts w:hint="default" w:ascii="宋体" w:hAnsi="宋体" w:eastAsia="宋体" w:cs="宋体"/>
                <w:b/>
                <w:bCs/>
                <w:sz w:val="21"/>
                <w:szCs w:val="21"/>
                <w:highlight w:val="cyan"/>
                <w:lang w:val="en-US" w:eastAsia="zh-CN"/>
              </w:rPr>
            </w:pPr>
            <w:r>
              <w:rPr>
                <w:rFonts w:hint="eastAsia" w:ascii="宋体" w:hAnsi="宋体" w:eastAsia="宋体" w:cs="宋体"/>
                <w:b/>
                <w:bCs/>
                <w:sz w:val="21"/>
                <w:szCs w:val="21"/>
                <w:highlight w:val="cyan"/>
                <w:lang w:val="en-US" w:eastAsia="zh-CN"/>
              </w:rPr>
              <w:t>罗马杆</w:t>
            </w:r>
          </w:p>
          <w:p w14:paraId="4EA09064">
            <w:pPr>
              <w:pStyle w:val="21"/>
              <w:spacing w:line="240" w:lineRule="auto"/>
              <w:rPr>
                <w:rFonts w:hint="eastAsia" w:ascii="宋体" w:hAnsi="宋体" w:eastAsia="宋体" w:cs="宋体"/>
                <w:sz w:val="21"/>
                <w:szCs w:val="21"/>
              </w:rPr>
            </w:pPr>
            <w:r>
              <w:rPr>
                <w:rFonts w:hint="eastAsia" w:ascii="宋体" w:hAnsi="宋体" w:eastAsia="宋体" w:cs="宋体"/>
                <w:sz w:val="21"/>
                <w:szCs w:val="21"/>
                <w:lang w:val="en-US" w:eastAsia="zh-CN"/>
              </w:rPr>
              <w:t>1.材</w:t>
            </w:r>
            <w:r>
              <w:rPr>
                <w:rFonts w:hint="eastAsia" w:ascii="宋体" w:hAnsi="宋体" w:eastAsia="宋体" w:cs="宋体"/>
                <w:sz w:val="21"/>
                <w:szCs w:val="21"/>
              </w:rPr>
              <w:t>质：采用高强度铝合金型材；</w:t>
            </w:r>
          </w:p>
          <w:p w14:paraId="14A56099">
            <w:pPr>
              <w:pStyle w:val="21"/>
              <w:spacing w:line="240" w:lineRule="auto"/>
              <w:rPr>
                <w:rFonts w:hint="eastAsia" w:ascii="宋体" w:hAnsi="宋体" w:eastAsia="宋体" w:cs="宋体"/>
                <w:sz w:val="21"/>
                <w:szCs w:val="21"/>
              </w:rPr>
            </w:pPr>
            <w:r>
              <w:rPr>
                <w:rFonts w:hint="eastAsia" w:ascii="宋体" w:hAnsi="宋体" w:eastAsia="宋体" w:cs="宋体"/>
                <w:sz w:val="21"/>
                <w:szCs w:val="21"/>
              </w:rPr>
              <w:t>2.壁厚：</w:t>
            </w:r>
            <w:r>
              <w:rPr>
                <w:rFonts w:hint="eastAsia" w:ascii="宋体" w:hAnsi="宋体" w:eastAsia="宋体" w:cs="宋体"/>
                <w:sz w:val="21"/>
                <w:szCs w:val="21"/>
                <w:lang w:val="en-US" w:eastAsia="zh-CN"/>
              </w:rPr>
              <w:t>罗马杆</w:t>
            </w:r>
            <w:r>
              <w:rPr>
                <w:rFonts w:hint="eastAsia" w:ascii="宋体" w:hAnsi="宋体" w:eastAsia="宋体" w:cs="宋体"/>
                <w:sz w:val="21"/>
                <w:szCs w:val="21"/>
              </w:rPr>
              <w:t>壁厚≥</w:t>
            </w:r>
            <w:r>
              <w:rPr>
                <w:rFonts w:hint="eastAsia" w:ascii="宋体" w:hAnsi="宋体" w:eastAsia="宋体" w:cs="宋体"/>
                <w:sz w:val="21"/>
                <w:szCs w:val="21"/>
                <w:lang w:val="en-US" w:eastAsia="zh-CN"/>
              </w:rPr>
              <w:t>2</w:t>
            </w:r>
            <w:r>
              <w:rPr>
                <w:rFonts w:hint="eastAsia" w:ascii="宋体" w:hAnsi="宋体" w:eastAsia="宋体" w:cs="宋体"/>
                <w:sz w:val="21"/>
                <w:szCs w:val="21"/>
              </w:rPr>
              <w:t>mm；</w:t>
            </w:r>
          </w:p>
          <w:p w14:paraId="651D2AE2">
            <w:pPr>
              <w:pStyle w:val="21"/>
              <w:spacing w:line="240" w:lineRule="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3外接圆直径</w:t>
            </w:r>
            <w:r>
              <w:rPr>
                <w:rFonts w:hint="eastAsia" w:ascii="宋体" w:hAnsi="宋体" w:eastAsia="宋体" w:cs="宋体"/>
                <w:sz w:val="21"/>
                <w:szCs w:val="21"/>
              </w:rPr>
              <w:t>≥</w:t>
            </w:r>
            <w:r>
              <w:rPr>
                <w:rFonts w:hint="eastAsia" w:ascii="宋体" w:hAnsi="宋体" w:eastAsia="宋体" w:cs="宋体"/>
                <w:sz w:val="21"/>
                <w:szCs w:val="21"/>
                <w:lang w:val="en-US" w:eastAsia="zh-CN"/>
              </w:rPr>
              <w:t>27.39mm</w:t>
            </w:r>
          </w:p>
          <w:p w14:paraId="5713A4A1">
            <w:pPr>
              <w:pStyle w:val="21"/>
              <w:spacing w:line="240" w:lineRule="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4内径</w:t>
            </w:r>
            <w:r>
              <w:rPr>
                <w:rFonts w:hint="eastAsia" w:ascii="宋体" w:hAnsi="宋体" w:eastAsia="宋体" w:cs="宋体"/>
                <w:sz w:val="21"/>
                <w:szCs w:val="21"/>
              </w:rPr>
              <w:t>≥</w:t>
            </w:r>
            <w:r>
              <w:rPr>
                <w:rFonts w:hint="eastAsia" w:ascii="宋体" w:hAnsi="宋体" w:eastAsia="宋体" w:cs="宋体"/>
                <w:sz w:val="21"/>
                <w:szCs w:val="21"/>
                <w:lang w:val="en-US" w:eastAsia="zh-CN"/>
              </w:rPr>
              <w:t>25.32mm</w:t>
            </w:r>
          </w:p>
          <w:p w14:paraId="4C1CBDDC">
            <w:pPr>
              <w:pStyle w:val="21"/>
              <w:spacing w:line="240" w:lineRule="auto"/>
              <w:rPr>
                <w:rFonts w:hint="eastAsia" w:ascii="宋体" w:hAnsi="宋体" w:eastAsia="宋体" w:cs="宋体"/>
                <w:sz w:val="21"/>
                <w:szCs w:val="21"/>
              </w:rPr>
            </w:pPr>
            <w:r>
              <w:rPr>
                <w:rFonts w:hint="eastAsia" w:ascii="宋体" w:hAnsi="宋体" w:eastAsia="宋体" w:cs="宋体"/>
                <w:sz w:val="21"/>
                <w:szCs w:val="21"/>
                <w:lang w:val="en-US" w:eastAsia="zh-CN"/>
              </w:rPr>
              <w:t>5抗拉强度</w:t>
            </w:r>
            <w:r>
              <w:rPr>
                <w:rFonts w:hint="eastAsia" w:ascii="宋体" w:hAnsi="宋体" w:eastAsia="宋体" w:cs="宋体"/>
                <w:sz w:val="21"/>
                <w:szCs w:val="21"/>
              </w:rPr>
              <w:t>：≥</w:t>
            </w:r>
            <w:r>
              <w:rPr>
                <w:rFonts w:hint="eastAsia" w:ascii="宋体" w:hAnsi="宋体" w:eastAsia="宋体" w:cs="宋体"/>
                <w:sz w:val="21"/>
                <w:szCs w:val="21"/>
                <w:lang w:val="en-US" w:eastAsia="zh-CN"/>
              </w:rPr>
              <w:t>175MPa</w:t>
            </w:r>
            <w:r>
              <w:rPr>
                <w:rFonts w:hint="eastAsia" w:ascii="宋体" w:hAnsi="宋体" w:eastAsia="宋体" w:cs="宋体"/>
                <w:sz w:val="21"/>
                <w:szCs w:val="21"/>
              </w:rPr>
              <w:t>；</w:t>
            </w:r>
          </w:p>
          <w:p w14:paraId="6DF87028">
            <w:pPr>
              <w:pStyle w:val="21"/>
              <w:spacing w:line="240" w:lineRule="auto"/>
              <w:rPr>
                <w:rFonts w:hint="eastAsia" w:ascii="宋体" w:hAnsi="宋体" w:eastAsia="宋体" w:cs="宋体"/>
                <w:sz w:val="21"/>
                <w:szCs w:val="21"/>
              </w:rPr>
            </w:pPr>
            <w:r>
              <w:rPr>
                <w:rFonts w:hint="eastAsia" w:ascii="宋体" w:hAnsi="宋体" w:eastAsia="宋体" w:cs="宋体"/>
                <w:sz w:val="21"/>
                <w:szCs w:val="21"/>
                <w:lang w:val="en-US" w:eastAsia="zh-CN"/>
              </w:rPr>
              <w:t>6规定非比例延申强度</w:t>
            </w:r>
            <w:r>
              <w:rPr>
                <w:rFonts w:hint="eastAsia" w:ascii="宋体" w:hAnsi="宋体" w:eastAsia="宋体" w:cs="宋体"/>
                <w:sz w:val="21"/>
                <w:szCs w:val="21"/>
              </w:rPr>
              <w:t>≥</w:t>
            </w:r>
            <w:r>
              <w:rPr>
                <w:rFonts w:hint="eastAsia" w:ascii="宋体" w:hAnsi="宋体" w:eastAsia="宋体" w:cs="宋体"/>
                <w:sz w:val="21"/>
                <w:szCs w:val="21"/>
                <w:lang w:val="en-US" w:eastAsia="zh-CN"/>
              </w:rPr>
              <w:t>130MPa</w:t>
            </w:r>
            <w:r>
              <w:rPr>
                <w:rFonts w:hint="eastAsia" w:ascii="宋体" w:hAnsi="宋体" w:eastAsia="宋体" w:cs="宋体"/>
                <w:sz w:val="21"/>
                <w:szCs w:val="21"/>
              </w:rPr>
              <w:t>；</w:t>
            </w:r>
          </w:p>
          <w:p w14:paraId="0BC84ACC">
            <w:pPr>
              <w:pStyle w:val="21"/>
              <w:spacing w:line="240" w:lineRule="auto"/>
              <w:rPr>
                <w:rFonts w:hint="eastAsia" w:ascii="宋体" w:hAnsi="宋体" w:eastAsia="宋体" w:cs="宋体"/>
                <w:sz w:val="21"/>
                <w:szCs w:val="21"/>
              </w:rPr>
            </w:pPr>
            <w:r>
              <w:rPr>
                <w:rFonts w:hint="eastAsia" w:ascii="宋体" w:hAnsi="宋体" w:eastAsia="宋体" w:cs="宋体"/>
                <w:sz w:val="21"/>
                <w:szCs w:val="21"/>
                <w:lang w:val="en-US" w:eastAsia="zh-CN"/>
              </w:rPr>
              <w:t>7</w:t>
            </w:r>
            <w:r>
              <w:rPr>
                <w:rFonts w:hint="eastAsia" w:ascii="宋体" w:hAnsi="宋体" w:eastAsia="宋体" w:cs="宋体"/>
                <w:sz w:val="21"/>
                <w:szCs w:val="21"/>
              </w:rPr>
              <w:t>.规定非比例延伸强度≥190Mpa；</w:t>
            </w:r>
          </w:p>
          <w:p w14:paraId="545C39CF">
            <w:pPr>
              <w:spacing w:line="240" w:lineRule="auto"/>
              <w:rPr>
                <w:rFonts w:hint="eastAsia" w:ascii="宋体" w:hAnsi="宋体" w:eastAsia="宋体" w:cs="宋体"/>
                <w:sz w:val="21"/>
                <w:szCs w:val="21"/>
              </w:rPr>
            </w:pPr>
            <w:r>
              <w:rPr>
                <w:rFonts w:hint="eastAsia" w:ascii="宋体" w:hAnsi="宋体" w:eastAsia="宋体" w:cs="宋体"/>
                <w:sz w:val="21"/>
                <w:szCs w:val="21"/>
                <w:lang w:val="en-US" w:eastAsia="zh-CN"/>
              </w:rPr>
              <w:t>8</w:t>
            </w:r>
            <w:r>
              <w:rPr>
                <w:rFonts w:hint="eastAsia" w:ascii="宋体" w:hAnsi="宋体" w:eastAsia="宋体" w:cs="宋体"/>
                <w:sz w:val="21"/>
                <w:szCs w:val="21"/>
              </w:rPr>
              <w:t>.</w:t>
            </w:r>
            <w:r>
              <w:rPr>
                <w:rFonts w:hint="eastAsia" w:ascii="宋体" w:hAnsi="宋体" w:eastAsia="宋体" w:cs="宋体"/>
                <w:sz w:val="21"/>
                <w:szCs w:val="21"/>
                <w:lang w:val="en-US" w:eastAsia="zh-CN"/>
              </w:rPr>
              <w:t>罗马杆</w:t>
            </w:r>
            <w:r>
              <w:rPr>
                <w:rFonts w:hint="eastAsia" w:ascii="宋体" w:hAnsi="宋体" w:eastAsia="宋体" w:cs="宋体"/>
                <w:sz w:val="21"/>
                <w:szCs w:val="21"/>
              </w:rPr>
              <w:t>承重：跨距300mm承重≥40kg，未变形；</w:t>
            </w:r>
          </w:p>
          <w:p w14:paraId="6C2EE9E1">
            <w:pPr>
              <w:spacing w:line="240" w:lineRule="auto"/>
              <w:rPr>
                <w:rFonts w:hint="eastAsia" w:ascii="宋体" w:hAnsi="宋体" w:eastAsia="宋体" w:cs="宋体"/>
                <w:sz w:val="21"/>
                <w:szCs w:val="21"/>
                <w:highlight w:val="yellow"/>
              </w:rPr>
            </w:pPr>
            <w:r>
              <w:rPr>
                <w:rFonts w:hint="eastAsia" w:ascii="宋体" w:hAnsi="宋体" w:eastAsia="宋体" w:cs="宋体"/>
                <w:sz w:val="21"/>
                <w:szCs w:val="21"/>
                <w:lang w:val="en-US" w:eastAsia="zh-CN"/>
              </w:rPr>
              <w:t>9</w:t>
            </w:r>
            <w:r>
              <w:rPr>
                <w:rFonts w:hint="eastAsia" w:ascii="宋体" w:hAnsi="宋体" w:eastAsia="宋体" w:cs="宋体"/>
                <w:sz w:val="21"/>
                <w:szCs w:val="21"/>
                <w:highlight w:val="none"/>
              </w:rPr>
              <w:t>.封口承重：承重≥20KG，未变形。</w:t>
            </w:r>
          </w:p>
          <w:p w14:paraId="406D5405">
            <w:pPr>
              <w:spacing w:line="240" w:lineRule="auto"/>
              <w:rPr>
                <w:rFonts w:hint="eastAsia" w:ascii="宋体" w:hAnsi="宋体" w:eastAsia="宋体" w:cs="宋体"/>
                <w:sz w:val="21"/>
                <w:szCs w:val="21"/>
              </w:rPr>
            </w:pPr>
            <w:r>
              <w:rPr>
                <w:rFonts w:hint="eastAsia" w:ascii="宋体" w:hAnsi="宋体" w:eastAsia="宋体" w:cs="宋体"/>
                <w:sz w:val="21"/>
                <w:szCs w:val="21"/>
                <w:lang w:val="en-US" w:eastAsia="zh-CN"/>
              </w:rPr>
              <w:t>10</w:t>
            </w:r>
            <w:r>
              <w:rPr>
                <w:rFonts w:hint="eastAsia" w:ascii="宋体" w:hAnsi="宋体" w:eastAsia="宋体" w:cs="宋体"/>
                <w:sz w:val="21"/>
                <w:szCs w:val="21"/>
              </w:rPr>
              <w:t>.外观质量：型材表面清洁，无裂缝、鼓泡等可视缺陷；</w:t>
            </w:r>
          </w:p>
          <w:p w14:paraId="636D84BD">
            <w:pPr>
              <w:spacing w:line="240" w:lineRule="auto"/>
              <w:rPr>
                <w:rFonts w:hint="eastAsia" w:ascii="宋体" w:hAnsi="宋体" w:eastAsia="宋体" w:cs="宋体"/>
                <w:sz w:val="21"/>
                <w:szCs w:val="21"/>
              </w:rPr>
            </w:pPr>
            <w:r>
              <w:rPr>
                <w:rFonts w:hint="eastAsia" w:ascii="宋体" w:hAnsi="宋体" w:eastAsia="宋体" w:cs="宋体"/>
                <w:sz w:val="21"/>
                <w:szCs w:val="21"/>
                <w:lang w:val="en-US" w:eastAsia="zh-CN"/>
              </w:rPr>
              <w:t>11</w:t>
            </w:r>
            <w:r>
              <w:rPr>
                <w:rFonts w:hint="eastAsia" w:ascii="宋体" w:hAnsi="宋体" w:eastAsia="宋体" w:cs="宋体"/>
                <w:sz w:val="21"/>
                <w:szCs w:val="21"/>
              </w:rPr>
              <w:t>.耐盐雾腐蚀性（48H）≥9.5级；</w:t>
            </w:r>
          </w:p>
          <w:p w14:paraId="389923F0">
            <w:pPr>
              <w:pStyle w:val="21"/>
              <w:spacing w:line="240" w:lineRule="auto"/>
              <w:rPr>
                <w:rFonts w:hint="eastAsia" w:ascii="宋体" w:hAnsi="宋体" w:eastAsia="宋体" w:cs="宋体"/>
                <w:sz w:val="21"/>
                <w:szCs w:val="21"/>
              </w:rPr>
            </w:pPr>
            <w:r>
              <w:rPr>
                <w:rFonts w:hint="eastAsia" w:ascii="宋体" w:hAnsi="宋体" w:eastAsia="宋体" w:cs="宋体"/>
                <w:sz w:val="21"/>
                <w:szCs w:val="21"/>
                <w:lang w:val="en-US" w:eastAsia="zh-CN"/>
              </w:rPr>
              <w:t>12</w:t>
            </w:r>
            <w:r>
              <w:rPr>
                <w:rFonts w:hint="eastAsia" w:ascii="宋体" w:hAnsi="宋体" w:eastAsia="宋体" w:cs="宋体"/>
                <w:sz w:val="21"/>
                <w:szCs w:val="21"/>
              </w:rPr>
              <w:t>.耐碱性（24H）≥10级</w:t>
            </w:r>
          </w:p>
          <w:p w14:paraId="757BD906">
            <w:pPr>
              <w:pStyle w:val="21"/>
              <w:spacing w:line="240" w:lineRule="auto"/>
              <w:rPr>
                <w:rFonts w:hint="eastAsia" w:ascii="宋体" w:hAnsi="宋体" w:eastAsia="宋体" w:cs="宋体"/>
                <w:b/>
                <w:bCs/>
                <w:sz w:val="21"/>
                <w:szCs w:val="21"/>
                <w:highlight w:val="cyan"/>
              </w:rPr>
            </w:pPr>
            <w:r>
              <w:rPr>
                <w:rFonts w:hint="eastAsia" w:ascii="宋体" w:hAnsi="宋体" w:eastAsia="宋体" w:cs="宋体"/>
                <w:b/>
                <w:bCs/>
                <w:sz w:val="21"/>
                <w:szCs w:val="21"/>
                <w:highlight w:val="cyan"/>
              </w:rPr>
              <w:t>窗帘轨道</w:t>
            </w:r>
          </w:p>
          <w:p w14:paraId="50819B20">
            <w:pPr>
              <w:pStyle w:val="21"/>
              <w:spacing w:line="240" w:lineRule="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铝合金轨道基础技术参数要求：</w:t>
            </w:r>
          </w:p>
          <w:p w14:paraId="05F863AA">
            <w:pPr>
              <w:pStyle w:val="21"/>
              <w:spacing w:line="240" w:lineRule="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1.化学成分（%）Mg、Fe、Mn、Cu、Zn、Ti、Si、Cr等成分符合标准要求；</w:t>
            </w:r>
          </w:p>
          <w:p w14:paraId="5118F495">
            <w:pPr>
              <w:pStyle w:val="21"/>
              <w:spacing w:line="240" w:lineRule="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★2.壁厚：≥3.0mm；</w:t>
            </w:r>
          </w:p>
          <w:p w14:paraId="0519D815">
            <w:pPr>
              <w:pStyle w:val="21"/>
              <w:spacing w:line="240" w:lineRule="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3.抗拉强度：≥230MPa；</w:t>
            </w:r>
          </w:p>
          <w:p w14:paraId="3EFF1B0C">
            <w:pPr>
              <w:pStyle w:val="21"/>
              <w:spacing w:line="240" w:lineRule="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★4.Pb铅：≤10mg/kg；</w:t>
            </w:r>
          </w:p>
          <w:p w14:paraId="04442323">
            <w:pPr>
              <w:pStyle w:val="21"/>
              <w:spacing w:line="240" w:lineRule="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5.断后伸长率（%）≥11；</w:t>
            </w:r>
          </w:p>
          <w:p w14:paraId="1554C4D9">
            <w:pPr>
              <w:pStyle w:val="21"/>
              <w:spacing w:line="240" w:lineRule="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6.滑轮承重≥50kg；</w:t>
            </w:r>
          </w:p>
          <w:p w14:paraId="655C57A4">
            <w:pPr>
              <w:pStyle w:val="21"/>
              <w:spacing w:line="240" w:lineRule="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★7.米克重：≥600g/m；</w:t>
            </w:r>
          </w:p>
          <w:p w14:paraId="3D0A4A97">
            <w:pPr>
              <w:pStyle w:val="21"/>
              <w:spacing w:line="240" w:lineRule="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8.韦氏硬度HW ≥13；</w:t>
            </w:r>
          </w:p>
          <w:p w14:paraId="7765E899">
            <w:pPr>
              <w:pStyle w:val="21"/>
              <w:spacing w:line="240" w:lineRule="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9.维氏硬度HV5 ≥70；</w:t>
            </w:r>
          </w:p>
          <w:p w14:paraId="49A0E199">
            <w:pPr>
              <w:pStyle w:val="21"/>
              <w:spacing w:line="240" w:lineRule="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★10.耐盐雾腐蚀性能（240h）≥10级；</w:t>
            </w:r>
          </w:p>
          <w:p w14:paraId="26BC87DB">
            <w:pPr>
              <w:pStyle w:val="21"/>
              <w:spacing w:line="240" w:lineRule="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11.局部膜厚μm ≥17；</w:t>
            </w:r>
          </w:p>
          <w:p w14:paraId="007DD059">
            <w:pPr>
              <w:pStyle w:val="21"/>
              <w:spacing w:line="240" w:lineRule="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★12.Cr六价铬：≤10mg/kg；</w:t>
            </w:r>
          </w:p>
          <w:p w14:paraId="4C0D72C4">
            <w:pPr>
              <w:pStyle w:val="21"/>
              <w:spacing w:line="240" w:lineRule="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13.耐碱性≥10级</w:t>
            </w:r>
          </w:p>
          <w:p w14:paraId="38E7BE76">
            <w:pPr>
              <w:widowControl/>
              <w:spacing w:line="240" w:lineRule="auto"/>
              <w:jc w:val="left"/>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14.耐沸水性（24h）:附着性0级；</w:t>
            </w:r>
          </w:p>
          <w:p w14:paraId="00F40E40">
            <w:pPr>
              <w:widowControl/>
              <w:spacing w:line="240" w:lineRule="auto"/>
              <w:jc w:val="left"/>
              <w:rPr>
                <w:rFonts w:hint="default"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15、滑轮挂钩</w:t>
            </w:r>
          </w:p>
          <w:p w14:paraId="16CD5FA4">
            <w:pPr>
              <w:widowControl/>
              <w:spacing w:line="240" w:lineRule="auto"/>
              <w:jc w:val="left"/>
              <w:rPr>
                <w:rFonts w:hint="eastAsia" w:ascii="宋体" w:hAnsi="宋体" w:eastAsia="宋体" w:cs="宋体"/>
                <w:b/>
                <w:bCs/>
                <w:sz w:val="21"/>
                <w:szCs w:val="21"/>
                <w:lang w:val="en-US" w:eastAsia="zh-CN"/>
              </w:rPr>
            </w:pPr>
          </w:p>
          <w:p w14:paraId="3C3EF0A0">
            <w:pPr>
              <w:widowControl/>
              <w:spacing w:line="240" w:lineRule="auto"/>
              <w:jc w:val="left"/>
              <w:rPr>
                <w:rFonts w:hint="default" w:ascii="宋体" w:hAnsi="宋体" w:eastAsia="宋体" w:cs="宋体"/>
                <w:b/>
                <w:bCs/>
                <w:sz w:val="21"/>
                <w:szCs w:val="21"/>
                <w:lang w:val="en-US" w:eastAsia="zh-CN"/>
              </w:rPr>
            </w:pPr>
            <w:r>
              <w:rPr>
                <w:rFonts w:hint="eastAsia" w:ascii="宋体" w:hAnsi="宋体" w:eastAsia="宋体" w:cs="宋体"/>
                <w:b/>
                <w:bCs/>
                <w:sz w:val="21"/>
                <w:szCs w:val="21"/>
                <w:lang w:val="en-US" w:eastAsia="zh-CN"/>
              </w:rPr>
              <w:t>部分辅材参数要求：</w:t>
            </w:r>
          </w:p>
          <w:p w14:paraId="45D4BA5E">
            <w:pPr>
              <w:widowControl/>
              <w:spacing w:line="240" w:lineRule="auto"/>
              <w:jc w:val="left"/>
              <w:rPr>
                <w:rFonts w:hint="eastAsia" w:ascii="宋体" w:hAnsi="宋体" w:eastAsia="宋体" w:cs="宋体"/>
                <w:kern w:val="0"/>
                <w:sz w:val="21"/>
                <w:szCs w:val="21"/>
                <w:lang w:bidi="ar"/>
              </w:rPr>
            </w:pPr>
            <w:r>
              <w:rPr>
                <w:rFonts w:hint="eastAsia" w:ascii="宋体" w:hAnsi="宋体" w:eastAsia="宋体" w:cs="宋体"/>
                <w:kern w:val="0"/>
                <w:sz w:val="21"/>
                <w:szCs w:val="21"/>
                <w:lang w:bidi="ar"/>
              </w:rPr>
              <w:t>1.壹字钩：不锈钢材质，强度、硬度高，不易折弯、变形。</w:t>
            </w:r>
          </w:p>
          <w:p w14:paraId="538B189C">
            <w:pPr>
              <w:pStyle w:val="21"/>
              <w:spacing w:line="240" w:lineRule="auto"/>
              <w:rPr>
                <w:rFonts w:hint="eastAsia" w:ascii="宋体" w:hAnsi="宋体" w:eastAsia="宋体" w:cs="宋体"/>
                <w:kern w:val="0"/>
                <w:sz w:val="21"/>
                <w:szCs w:val="21"/>
                <w:lang w:bidi="ar"/>
              </w:rPr>
            </w:pPr>
            <w:r>
              <w:rPr>
                <w:rFonts w:hint="eastAsia" w:ascii="宋体" w:hAnsi="宋体" w:eastAsia="宋体" w:cs="宋体"/>
                <w:kern w:val="0"/>
                <w:sz w:val="21"/>
                <w:szCs w:val="21"/>
                <w:lang w:bidi="ar"/>
              </w:rPr>
              <w:t>2.布带成份：100丙纶；克重量≥18g/m；断裂强力：经向≥200N；防紫外性能：UPF≥8，T(UVA)AV≤10%，(UVB)AV≤13%；PH值：3-9级；甲醛含量≤20mg/kg；可分解致癌芳香胺燃料≤5mg/kg；异味：无异味；可萃取的重金属（汞）&lt;0.02mg/kg。</w:t>
            </w:r>
          </w:p>
          <w:p w14:paraId="745A186D">
            <w:pPr>
              <w:widowControl w:val="0"/>
              <w:numPr>
                <w:ilvl w:val="0"/>
                <w:numId w:val="0"/>
              </w:numPr>
              <w:jc w:val="both"/>
              <w:rPr>
                <w:rFonts w:hint="eastAsia"/>
                <w:lang w:val="en-US" w:eastAsia="zh-CN"/>
              </w:rPr>
            </w:pPr>
          </w:p>
          <w:p w14:paraId="5BDF7588">
            <w:pPr>
              <w:widowControl w:val="0"/>
              <w:numPr>
                <w:ilvl w:val="0"/>
                <w:numId w:val="0"/>
              </w:numPr>
              <w:jc w:val="both"/>
              <w:rPr>
                <w:rFonts w:hint="eastAsia"/>
                <w:b/>
                <w:bCs/>
                <w:highlight w:val="yellow"/>
                <w:lang w:val="en-US" w:eastAsia="zh-CN"/>
              </w:rPr>
            </w:pPr>
            <w:r>
              <w:rPr>
                <w:rFonts w:hint="eastAsia"/>
                <w:b/>
                <w:bCs/>
                <w:highlight w:val="yellow"/>
                <w:lang w:val="en-US" w:eastAsia="zh-CN"/>
              </w:rPr>
              <w:t>特别说明：</w:t>
            </w:r>
          </w:p>
          <w:p w14:paraId="78062834">
            <w:pPr>
              <w:widowControl w:val="0"/>
              <w:numPr>
                <w:ilvl w:val="0"/>
                <w:numId w:val="0"/>
              </w:numPr>
              <w:jc w:val="both"/>
              <w:rPr>
                <w:rFonts w:hint="eastAsia" w:ascii="宋体" w:hAnsi="宋体" w:eastAsia="宋体" w:cs="宋体"/>
                <w:b/>
                <w:bCs/>
                <w:sz w:val="21"/>
                <w:szCs w:val="21"/>
                <w:highlight w:val="yellow"/>
                <w:lang w:val="en-US" w:eastAsia="zh-CN"/>
              </w:rPr>
            </w:pPr>
            <w:r>
              <w:rPr>
                <w:rFonts w:hint="eastAsia"/>
                <w:b/>
                <w:bCs/>
                <w:highlight w:val="yellow"/>
                <w:lang w:val="en-US" w:eastAsia="zh-CN"/>
              </w:rPr>
              <w:t>1、辅材包含但不限于：罗马杆、窗帘轨道、底座、小堵头或封口、挂环、一子钩、窗帘挂钩布、窗帘捆绑带等其他未列明辅材，</w:t>
            </w:r>
            <w:r>
              <w:rPr>
                <w:rFonts w:hint="eastAsia" w:ascii="宋体" w:hAnsi="宋体" w:eastAsia="宋体" w:cs="宋体"/>
                <w:b/>
                <w:bCs/>
                <w:sz w:val="21"/>
                <w:szCs w:val="21"/>
                <w:highlight w:val="yellow"/>
                <w:lang w:val="en-US" w:eastAsia="zh-CN"/>
              </w:rPr>
              <w:t>具体数量由各供应商根据供货需求和采购人实际要求综合考虑进行配置。</w:t>
            </w:r>
          </w:p>
          <w:p w14:paraId="2423163A">
            <w:pPr>
              <w:widowControl w:val="0"/>
              <w:numPr>
                <w:ilvl w:val="0"/>
                <w:numId w:val="0"/>
              </w:numPr>
              <w:ind w:left="0" w:leftChars="0" w:firstLine="0" w:firstLineChars="0"/>
              <w:jc w:val="both"/>
              <w:rPr>
                <w:sz w:val="18"/>
                <w:szCs w:val="18"/>
                <w:highlight w:val="none"/>
              </w:rPr>
            </w:pPr>
            <w:r>
              <w:rPr>
                <w:rFonts w:hint="eastAsia" w:ascii="宋体" w:hAnsi="宋体" w:eastAsia="宋体" w:cs="宋体"/>
                <w:b/>
                <w:bCs/>
                <w:sz w:val="21"/>
                <w:szCs w:val="21"/>
                <w:highlight w:val="yellow"/>
                <w:lang w:val="en-US" w:eastAsia="zh-CN"/>
              </w:rPr>
              <w:t>2、辅材和主材的色系花纹等搭配要协调。</w:t>
            </w:r>
          </w:p>
        </w:tc>
        <w:tc>
          <w:tcPr>
            <w:tcW w:w="990" w:type="dxa"/>
          </w:tcPr>
          <w:p w14:paraId="5E53C05D">
            <w:pPr>
              <w:keepNext w:val="0"/>
              <w:keepLines w:val="0"/>
              <w:pageBreakBefore w:val="0"/>
              <w:kinsoku/>
              <w:wordWrap/>
              <w:overflowPunct/>
              <w:topLinePunct w:val="0"/>
              <w:bidi w:val="0"/>
              <w:adjustRightInd/>
              <w:snapToGrid/>
              <w:jc w:val="center"/>
              <w:textAlignment w:val="auto"/>
              <w:rPr>
                <w:rFonts w:ascii="宋体" w:hAnsi="宋体"/>
                <w:sz w:val="18"/>
                <w:szCs w:val="18"/>
                <w:highlight w:val="none"/>
              </w:rPr>
            </w:pPr>
          </w:p>
        </w:tc>
        <w:tc>
          <w:tcPr>
            <w:tcW w:w="1020" w:type="dxa"/>
          </w:tcPr>
          <w:p w14:paraId="625E6247">
            <w:pPr>
              <w:keepNext w:val="0"/>
              <w:keepLines w:val="0"/>
              <w:pageBreakBefore w:val="0"/>
              <w:kinsoku/>
              <w:wordWrap/>
              <w:overflowPunct/>
              <w:topLinePunct w:val="0"/>
              <w:bidi w:val="0"/>
              <w:adjustRightInd/>
              <w:snapToGrid/>
              <w:jc w:val="center"/>
              <w:textAlignment w:val="auto"/>
              <w:rPr>
                <w:rFonts w:ascii="宋体" w:hAnsi="宋体"/>
                <w:sz w:val="18"/>
                <w:szCs w:val="18"/>
                <w:highlight w:val="none"/>
              </w:rPr>
            </w:pPr>
          </w:p>
        </w:tc>
        <w:tc>
          <w:tcPr>
            <w:tcW w:w="713" w:type="dxa"/>
          </w:tcPr>
          <w:p w14:paraId="1EF2E8A0">
            <w:pPr>
              <w:keepNext w:val="0"/>
              <w:keepLines w:val="0"/>
              <w:pageBreakBefore w:val="0"/>
              <w:kinsoku/>
              <w:wordWrap/>
              <w:overflowPunct/>
              <w:topLinePunct w:val="0"/>
              <w:bidi w:val="0"/>
              <w:adjustRightInd/>
              <w:snapToGrid/>
              <w:jc w:val="center"/>
              <w:textAlignment w:val="auto"/>
              <w:rPr>
                <w:rFonts w:ascii="宋体" w:hAnsi="宋体"/>
                <w:sz w:val="18"/>
                <w:szCs w:val="18"/>
                <w:highlight w:val="none"/>
              </w:rPr>
            </w:pPr>
          </w:p>
        </w:tc>
      </w:tr>
      <w:tr w14:paraId="0E0563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851" w:type="dxa"/>
            <w:vAlign w:val="center"/>
          </w:tcPr>
          <w:p w14:paraId="555C0990">
            <w:pPr>
              <w:keepNext w:val="0"/>
              <w:keepLines w:val="0"/>
              <w:pageBreakBefore w:val="0"/>
              <w:kinsoku/>
              <w:wordWrap/>
              <w:overflowPunct/>
              <w:topLinePunct w:val="0"/>
              <w:autoSpaceDE w:val="0"/>
              <w:autoSpaceDN w:val="0"/>
              <w:bidi w:val="0"/>
              <w:adjustRightInd/>
              <w:snapToGrid/>
              <w:spacing w:line="240" w:lineRule="auto"/>
              <w:jc w:val="center"/>
              <w:textAlignment w:val="auto"/>
              <w:outlineLvl w:val="0"/>
              <w:rPr>
                <w:rFonts w:hint="eastAsia" w:ascii="宋体" w:hAnsi="宋体" w:eastAsia="宋体" w:cs="宋体"/>
                <w:sz w:val="18"/>
                <w:szCs w:val="18"/>
                <w:highlight w:val="none"/>
              </w:rPr>
            </w:pPr>
          </w:p>
          <w:p w14:paraId="77C6D472">
            <w:pPr>
              <w:keepNext w:val="0"/>
              <w:keepLines w:val="0"/>
              <w:pageBreakBefore w:val="0"/>
              <w:kinsoku/>
              <w:wordWrap/>
              <w:overflowPunct/>
              <w:topLinePunct w:val="0"/>
              <w:autoSpaceDE w:val="0"/>
              <w:autoSpaceDN w:val="0"/>
              <w:bidi w:val="0"/>
              <w:adjustRightInd/>
              <w:snapToGrid/>
              <w:spacing w:line="240" w:lineRule="auto"/>
              <w:jc w:val="center"/>
              <w:textAlignment w:val="auto"/>
              <w:outlineLvl w:val="0"/>
              <w:rPr>
                <w:rFonts w:hint="eastAsia" w:ascii="宋体" w:hAnsi="宋体" w:eastAsia="宋体" w:cs="宋体"/>
                <w:sz w:val="18"/>
                <w:szCs w:val="18"/>
                <w:highlight w:val="none"/>
              </w:rPr>
            </w:pPr>
          </w:p>
          <w:p w14:paraId="6C8B89DE">
            <w:pPr>
              <w:keepNext w:val="0"/>
              <w:keepLines w:val="0"/>
              <w:pageBreakBefore w:val="0"/>
              <w:kinsoku/>
              <w:wordWrap/>
              <w:overflowPunct/>
              <w:topLinePunct w:val="0"/>
              <w:autoSpaceDE w:val="0"/>
              <w:autoSpaceDN w:val="0"/>
              <w:bidi w:val="0"/>
              <w:adjustRightInd/>
              <w:snapToGrid/>
              <w:spacing w:line="240" w:lineRule="auto"/>
              <w:jc w:val="center"/>
              <w:textAlignment w:val="auto"/>
              <w:outlineLvl w:val="0"/>
              <w:rPr>
                <w:rFonts w:ascii="宋体" w:hAnsi="宋体"/>
                <w:sz w:val="18"/>
                <w:szCs w:val="18"/>
                <w:highlight w:val="none"/>
              </w:rPr>
            </w:pPr>
            <w:r>
              <w:rPr>
                <w:rFonts w:hint="eastAsia" w:ascii="宋体" w:hAnsi="宋体" w:eastAsia="宋体" w:cs="宋体"/>
                <w:sz w:val="18"/>
                <w:szCs w:val="18"/>
                <w:highlight w:val="none"/>
                <w:lang w:val="en-US" w:eastAsia="zh-CN"/>
              </w:rPr>
              <w:t>3</w:t>
            </w:r>
          </w:p>
        </w:tc>
        <w:tc>
          <w:tcPr>
            <w:tcW w:w="1030" w:type="dxa"/>
            <w:vAlign w:val="center"/>
          </w:tcPr>
          <w:p w14:paraId="457BC267">
            <w:pPr>
              <w:widowControl/>
              <w:spacing w:line="240" w:lineRule="auto"/>
              <w:jc w:val="center"/>
              <w:rPr>
                <w:sz w:val="18"/>
                <w:szCs w:val="18"/>
                <w:highlight w:val="none"/>
              </w:rPr>
            </w:pPr>
            <w:r>
              <w:rPr>
                <w:rFonts w:hint="eastAsia" w:ascii="宋体" w:hAnsi="宋体" w:eastAsia="宋体" w:cs="宋体"/>
                <w:color w:val="000000"/>
                <w:kern w:val="0"/>
                <w:sz w:val="21"/>
                <w:szCs w:val="21"/>
                <w:lang w:val="en-US" w:eastAsia="zh-CN"/>
              </w:rPr>
              <w:t>阻燃卷帘</w:t>
            </w:r>
          </w:p>
        </w:tc>
        <w:tc>
          <w:tcPr>
            <w:tcW w:w="5197" w:type="dxa"/>
            <w:vAlign w:val="center"/>
          </w:tcPr>
          <w:p w14:paraId="21168274">
            <w:pPr>
              <w:spacing w:line="240" w:lineRule="auto"/>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1、成分：100%聚酯纤维；净单位面积质量≥206g/？O （依据GB/T  4669-2008标准）</w:t>
            </w:r>
          </w:p>
          <w:p w14:paraId="425C4330">
            <w:pPr>
              <w:spacing w:line="240" w:lineRule="auto"/>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2、阻燃性能：水洗50次后仍符合GB8624-2012中B1级要求</w:t>
            </w:r>
          </w:p>
          <w:p w14:paraId="6E49715B">
            <w:pPr>
              <w:spacing w:line="240" w:lineRule="auto"/>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 损毁长度: 经向：≤150mm，纬向：≤150mm （依据GB/T  5455-2014标准）</w:t>
            </w:r>
          </w:p>
          <w:p w14:paraId="1B3D1123">
            <w:pPr>
              <w:spacing w:line="240" w:lineRule="auto"/>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 续燃时间: 经向: ≤5s，纬向：≤5s （依据GB/T  5455-2014标准）</w:t>
            </w:r>
          </w:p>
          <w:p w14:paraId="7B161BFD">
            <w:pPr>
              <w:spacing w:line="240" w:lineRule="auto"/>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 阴燃时间：经向: ≤15s，纬向：≤15s （依据GB/T  5455-2014标准）</w:t>
            </w:r>
          </w:p>
          <w:p w14:paraId="6D38141F">
            <w:pPr>
              <w:spacing w:line="240" w:lineRule="auto"/>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 氧指数OI/%：≥32 （依据GB/T  5454-1997标准）</w:t>
            </w:r>
          </w:p>
          <w:p w14:paraId="7949EEFF">
            <w:pPr>
              <w:spacing w:line="240" w:lineRule="auto"/>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 甲醛含量：未检出 （依据GB/T  2912.1-2009标准）</w:t>
            </w:r>
          </w:p>
          <w:p w14:paraId="18CA0677">
            <w:pPr>
              <w:spacing w:line="240" w:lineRule="auto"/>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★8、PH值：4.0-8.5  （依据GB/T  7573-2009标准）</w:t>
            </w:r>
          </w:p>
          <w:p w14:paraId="466D2D64">
            <w:pPr>
              <w:spacing w:line="240" w:lineRule="auto"/>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★9、可分解致癌芳香胺染料：未检出 （依据GB/T  17592-2011标准）</w:t>
            </w:r>
          </w:p>
          <w:p w14:paraId="4FB530CB">
            <w:pPr>
              <w:spacing w:line="240" w:lineRule="auto"/>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★10、异味：无 （依据GB/T  18401-2010标准）</w:t>
            </w:r>
          </w:p>
          <w:p w14:paraId="412E840B">
            <w:pPr>
              <w:spacing w:line="240" w:lineRule="auto"/>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11、耐皂洗色牢度：变色≥4级，沾色≥4级（依据GB/T  3921-2008标准）</w:t>
            </w:r>
          </w:p>
          <w:p w14:paraId="69518F4A">
            <w:pPr>
              <w:spacing w:line="240" w:lineRule="auto"/>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12、耐水色牢度：变色≥4级，沾色≥4级（依据GB/T  5713-2013标准）</w:t>
            </w:r>
          </w:p>
          <w:p w14:paraId="7CCC25D9">
            <w:pPr>
              <w:spacing w:line="240" w:lineRule="auto"/>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13、耐干洗色牢度：变色≥4级（依据GB/T  5711-2015标准）</w:t>
            </w:r>
          </w:p>
          <w:p w14:paraId="11BF2FFF">
            <w:pPr>
              <w:spacing w:line="240" w:lineRule="auto"/>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14、耐酸汗渍色牢度：变色≥4级，沾色≥4级（依据GB/T  3922-2013标准）</w:t>
            </w:r>
          </w:p>
          <w:p w14:paraId="697E2D12">
            <w:pPr>
              <w:spacing w:line="240" w:lineRule="auto"/>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15、耐碱汗渍色牢度：变色≥4级，沾色≥4级（依据GB/T  3922-2013标准）</w:t>
            </w:r>
          </w:p>
          <w:p w14:paraId="645B7785">
            <w:pPr>
              <w:spacing w:line="240" w:lineRule="auto"/>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16、耐摩擦色牢度：干摩≥4级，湿摩≥4级（依据GB/T  3920-2008标准）</w:t>
            </w:r>
          </w:p>
          <w:p w14:paraId="2F98DBCB">
            <w:pPr>
              <w:spacing w:line="240" w:lineRule="auto"/>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17、耐光色牢度：＞4级（依据GB/T  8427-2008标准）</w:t>
            </w:r>
          </w:p>
          <w:p w14:paraId="2A1FF193">
            <w:pPr>
              <w:spacing w:line="240" w:lineRule="auto"/>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18、耐唾液色牢度：≥4级（依据GB/T  18886-2002标准）</w:t>
            </w:r>
          </w:p>
          <w:p w14:paraId="4EF8B38A">
            <w:pPr>
              <w:spacing w:line="240" w:lineRule="auto"/>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19、水洗尺寸变化率：经向：-1.0~1.0，纬向：-1.0~1.0 (依据GB/T 8628-2013，GB/T 8629-2017，GB/T 8630-2013标准)</w:t>
            </w:r>
          </w:p>
          <w:p w14:paraId="00B74A80">
            <w:pPr>
              <w:spacing w:line="240" w:lineRule="auto"/>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20、断裂强力：经向：≥530N，纬向：≥1700N (依据GB/T 3923.1-2013标准)</w:t>
            </w:r>
          </w:p>
          <w:p w14:paraId="3859DA0C">
            <w:pPr>
              <w:spacing w:line="240" w:lineRule="auto"/>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21、顶破强力：≥1200N (依据GB/T 19976-2005标准)</w:t>
            </w:r>
          </w:p>
          <w:p w14:paraId="55B04B65">
            <w:pPr>
              <w:spacing w:line="240" w:lineRule="auto"/>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31、防紫外线性能的判定：UPF值≥13，UPF等级＞10，T（UVA）AV/%  ≤30.55，T（UVB）AV/%   ≤5.77 (依据GB/T 18830-2009标准)</w:t>
            </w:r>
          </w:p>
          <w:p w14:paraId="5627C8AE">
            <w:pPr>
              <w:spacing w:line="240" w:lineRule="auto"/>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22、酚黄变色牢度：≥4级（依据GB/T 29778-2013标准）</w:t>
            </w:r>
          </w:p>
          <w:p w14:paraId="58F484E9">
            <w:pPr>
              <w:spacing w:line="240" w:lineRule="auto"/>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23、透气率:  1202.1±5mm/s （依据GB/T 5453-1997标准）</w:t>
            </w:r>
          </w:p>
          <w:p w14:paraId="14E4542A">
            <w:pPr>
              <w:spacing w:line="240" w:lineRule="auto"/>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24、起球：≥4   （依据GB/T  4802.2-2008标准)</w:t>
            </w:r>
          </w:p>
          <w:p w14:paraId="70B5B163">
            <w:pPr>
              <w:numPr>
                <w:ilvl w:val="0"/>
                <w:numId w:val="0"/>
              </w:numPr>
              <w:spacing w:before="35" w:line="240" w:lineRule="auto"/>
              <w:ind w:right="572" w:rightChars="0"/>
              <w:jc w:val="left"/>
              <w:rPr>
                <w:rFonts w:hint="eastAsia" w:ascii="宋体" w:hAnsi="宋体" w:eastAsia="宋体" w:cs="宋体"/>
                <w:color w:val="auto"/>
                <w:sz w:val="21"/>
                <w:szCs w:val="21"/>
                <w:highlight w:val="magenta"/>
                <w:lang w:val="en-US" w:eastAsia="zh-CN"/>
              </w:rPr>
            </w:pPr>
            <w:r>
              <w:rPr>
                <w:rFonts w:hint="eastAsia" w:ascii="宋体" w:hAnsi="宋体" w:eastAsia="宋体" w:cs="宋体"/>
                <w:color w:val="auto"/>
                <w:sz w:val="21"/>
                <w:szCs w:val="21"/>
                <w:highlight w:val="magenta"/>
                <w:lang w:val="en-US" w:eastAsia="zh-CN"/>
              </w:rPr>
              <w:t>注：中标后签订合同前中标人需提供有效期内含以上各项技术指标的第三方权威检测机构出具的带有国家计量认证（CMA）标识的检测报告复印件给采购人核验，如不达标，采购人有权拒绝签订合同，并解除中标单位的中标资格。</w:t>
            </w:r>
          </w:p>
          <w:p w14:paraId="67454313">
            <w:pPr>
              <w:numPr>
                <w:ilvl w:val="0"/>
                <w:numId w:val="0"/>
              </w:numPr>
              <w:spacing w:before="35" w:line="240" w:lineRule="auto"/>
              <w:ind w:left="0" w:leftChars="0" w:right="572" w:rightChars="0" w:firstLine="0" w:firstLineChars="0"/>
              <w:jc w:val="left"/>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21"/>
                <w:szCs w:val="21"/>
                <w:highlight w:val="none"/>
                <w:lang w:val="en-US" w:eastAsia="zh-CN"/>
              </w:rPr>
              <w:t>25、幅宽（cm)200±30</w:t>
            </w:r>
          </w:p>
        </w:tc>
        <w:tc>
          <w:tcPr>
            <w:tcW w:w="990" w:type="dxa"/>
          </w:tcPr>
          <w:p w14:paraId="007A69F4">
            <w:pPr>
              <w:keepNext w:val="0"/>
              <w:keepLines w:val="0"/>
              <w:pageBreakBefore w:val="0"/>
              <w:kinsoku/>
              <w:wordWrap/>
              <w:overflowPunct/>
              <w:topLinePunct w:val="0"/>
              <w:bidi w:val="0"/>
              <w:adjustRightInd/>
              <w:snapToGrid/>
              <w:jc w:val="center"/>
              <w:textAlignment w:val="auto"/>
              <w:rPr>
                <w:rFonts w:ascii="宋体" w:hAnsi="宋体"/>
                <w:sz w:val="18"/>
                <w:szCs w:val="18"/>
                <w:highlight w:val="none"/>
              </w:rPr>
            </w:pPr>
          </w:p>
        </w:tc>
        <w:tc>
          <w:tcPr>
            <w:tcW w:w="1020" w:type="dxa"/>
          </w:tcPr>
          <w:p w14:paraId="5D60A8DA">
            <w:pPr>
              <w:keepNext w:val="0"/>
              <w:keepLines w:val="0"/>
              <w:pageBreakBefore w:val="0"/>
              <w:kinsoku/>
              <w:wordWrap/>
              <w:overflowPunct/>
              <w:topLinePunct w:val="0"/>
              <w:bidi w:val="0"/>
              <w:adjustRightInd/>
              <w:snapToGrid/>
              <w:jc w:val="center"/>
              <w:textAlignment w:val="auto"/>
              <w:rPr>
                <w:rFonts w:ascii="宋体" w:hAnsi="宋体"/>
                <w:sz w:val="18"/>
                <w:szCs w:val="18"/>
                <w:highlight w:val="none"/>
              </w:rPr>
            </w:pPr>
          </w:p>
        </w:tc>
        <w:tc>
          <w:tcPr>
            <w:tcW w:w="713" w:type="dxa"/>
          </w:tcPr>
          <w:p w14:paraId="36E06C8E">
            <w:pPr>
              <w:keepNext w:val="0"/>
              <w:keepLines w:val="0"/>
              <w:pageBreakBefore w:val="0"/>
              <w:kinsoku/>
              <w:wordWrap/>
              <w:overflowPunct/>
              <w:topLinePunct w:val="0"/>
              <w:bidi w:val="0"/>
              <w:adjustRightInd/>
              <w:snapToGrid/>
              <w:jc w:val="center"/>
              <w:textAlignment w:val="auto"/>
              <w:rPr>
                <w:rFonts w:ascii="宋体" w:hAnsi="宋体"/>
                <w:sz w:val="18"/>
                <w:szCs w:val="18"/>
                <w:highlight w:val="none"/>
              </w:rPr>
            </w:pPr>
          </w:p>
        </w:tc>
      </w:tr>
      <w:tr w14:paraId="4A8144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851" w:type="dxa"/>
            <w:vAlign w:val="center"/>
          </w:tcPr>
          <w:p w14:paraId="04BE15C3">
            <w:pPr>
              <w:keepNext w:val="0"/>
              <w:keepLines w:val="0"/>
              <w:pageBreakBefore w:val="0"/>
              <w:kinsoku/>
              <w:wordWrap/>
              <w:overflowPunct/>
              <w:topLinePunct w:val="0"/>
              <w:autoSpaceDE w:val="0"/>
              <w:autoSpaceDN w:val="0"/>
              <w:bidi w:val="0"/>
              <w:adjustRightInd/>
              <w:snapToGrid/>
              <w:spacing w:line="240" w:lineRule="auto"/>
              <w:jc w:val="center"/>
              <w:textAlignment w:val="auto"/>
              <w:outlineLvl w:val="0"/>
              <w:rPr>
                <w:rFonts w:ascii="宋体" w:hAnsi="宋体"/>
                <w:sz w:val="18"/>
                <w:szCs w:val="18"/>
                <w:highlight w:val="none"/>
              </w:rPr>
            </w:pPr>
            <w:r>
              <w:rPr>
                <w:rFonts w:hint="eastAsia" w:ascii="宋体" w:hAnsi="宋体" w:eastAsia="宋体" w:cs="宋体"/>
                <w:sz w:val="18"/>
                <w:szCs w:val="18"/>
                <w:highlight w:val="none"/>
                <w:lang w:val="en-US" w:eastAsia="zh-CN"/>
              </w:rPr>
              <w:t>4</w:t>
            </w:r>
          </w:p>
        </w:tc>
        <w:tc>
          <w:tcPr>
            <w:tcW w:w="1030" w:type="dxa"/>
            <w:vAlign w:val="center"/>
          </w:tcPr>
          <w:p w14:paraId="05A3CA28">
            <w:pPr>
              <w:autoSpaceDE w:val="0"/>
              <w:autoSpaceDN w:val="0"/>
              <w:spacing w:line="240" w:lineRule="auto"/>
              <w:jc w:val="center"/>
              <w:outlineLvl w:val="0"/>
              <w:rPr>
                <w:sz w:val="18"/>
                <w:szCs w:val="18"/>
                <w:highlight w:val="none"/>
              </w:rPr>
            </w:pPr>
            <w:r>
              <w:rPr>
                <w:rFonts w:hint="eastAsia" w:ascii="宋体" w:hAnsi="宋体" w:eastAsia="宋体" w:cs="宋体"/>
                <w:sz w:val="21"/>
                <w:szCs w:val="21"/>
                <w:lang w:val="en-US" w:eastAsia="zh-CN"/>
              </w:rPr>
              <w:t>上</w:t>
            </w:r>
            <w:r>
              <w:rPr>
                <w:rFonts w:hint="eastAsia" w:ascii="宋体" w:hAnsi="宋体" w:eastAsia="宋体" w:cs="宋体"/>
                <w:sz w:val="21"/>
                <w:szCs w:val="21"/>
              </w:rPr>
              <w:t>管</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底杆</w:t>
            </w:r>
          </w:p>
        </w:tc>
        <w:tc>
          <w:tcPr>
            <w:tcW w:w="5197" w:type="dxa"/>
            <w:vAlign w:val="center"/>
          </w:tcPr>
          <w:p w14:paraId="125F9CF9">
            <w:pPr>
              <w:pStyle w:val="21"/>
              <w:spacing w:line="240" w:lineRule="auto"/>
              <w:jc w:val="left"/>
              <w:rPr>
                <w:rFonts w:hint="eastAsia" w:ascii="宋体" w:hAnsi="宋体" w:eastAsia="宋体" w:cs="宋体"/>
                <w:sz w:val="21"/>
                <w:szCs w:val="21"/>
              </w:rPr>
            </w:pPr>
            <w:r>
              <w:rPr>
                <w:rFonts w:hint="eastAsia" w:ascii="宋体" w:hAnsi="宋体" w:eastAsia="宋体" w:cs="宋体"/>
                <w:b/>
                <w:bCs/>
                <w:sz w:val="21"/>
                <w:szCs w:val="21"/>
              </w:rPr>
              <w:t>上管</w:t>
            </w:r>
            <w:r>
              <w:rPr>
                <w:rFonts w:hint="eastAsia" w:ascii="宋体" w:hAnsi="宋体" w:eastAsia="宋体" w:cs="宋体"/>
                <w:sz w:val="21"/>
                <w:szCs w:val="21"/>
              </w:rPr>
              <w:tab/>
            </w:r>
          </w:p>
          <w:p w14:paraId="0B612C7D">
            <w:pPr>
              <w:pStyle w:val="21"/>
              <w:spacing w:line="240" w:lineRule="auto"/>
              <w:rPr>
                <w:rFonts w:hint="eastAsia" w:ascii="宋体" w:hAnsi="宋体" w:eastAsia="宋体" w:cs="宋体"/>
                <w:sz w:val="21"/>
                <w:szCs w:val="21"/>
              </w:rPr>
            </w:pPr>
            <w:r>
              <w:rPr>
                <w:rFonts w:hint="eastAsia" w:ascii="宋体" w:hAnsi="宋体" w:eastAsia="宋体" w:cs="宋体"/>
                <w:sz w:val="21"/>
                <w:szCs w:val="21"/>
              </w:rPr>
              <w:t>1、规格：采用优质高强度铝合金材质，圆管内直径≥φ38.00mm，内有6根加强筋位设计，增加强度，抗弯曲能力强，经久耐用</w:t>
            </w:r>
            <w:r>
              <w:rPr>
                <w:rFonts w:hint="eastAsia" w:ascii="宋体" w:hAnsi="宋体" w:eastAsia="宋体" w:cs="宋体"/>
                <w:sz w:val="21"/>
                <w:szCs w:val="21"/>
              </w:rPr>
              <w:tab/>
            </w:r>
          </w:p>
          <w:p w14:paraId="7F68CC68">
            <w:pPr>
              <w:pStyle w:val="21"/>
              <w:spacing w:line="240" w:lineRule="auto"/>
              <w:rPr>
                <w:rFonts w:hint="eastAsia" w:ascii="宋体" w:hAnsi="宋体" w:eastAsia="宋体" w:cs="宋体"/>
                <w:sz w:val="21"/>
                <w:szCs w:val="21"/>
              </w:rPr>
            </w:pPr>
            <w:r>
              <w:rPr>
                <w:rFonts w:hint="eastAsia" w:ascii="宋体" w:hAnsi="宋体" w:eastAsia="宋体" w:cs="宋体"/>
                <w:sz w:val="21"/>
                <w:szCs w:val="21"/>
              </w:rPr>
              <w:t>2、规定非比例延伸强度</w:t>
            </w:r>
            <w:r>
              <w:rPr>
                <w:rFonts w:hint="eastAsia" w:ascii="宋体" w:hAnsi="宋体" w:eastAsia="宋体" w:cs="宋体"/>
                <w:sz w:val="21"/>
                <w:szCs w:val="21"/>
              </w:rPr>
              <w:tab/>
            </w:r>
            <w:r>
              <w:rPr>
                <w:rFonts w:hint="eastAsia" w:ascii="宋体" w:hAnsi="宋体" w:eastAsia="宋体" w:cs="宋体"/>
                <w:sz w:val="21"/>
                <w:szCs w:val="21"/>
              </w:rPr>
              <w:t>≥240 MPa</w:t>
            </w:r>
            <w:r>
              <w:rPr>
                <w:rFonts w:hint="eastAsia" w:ascii="宋体" w:hAnsi="宋体" w:eastAsia="宋体" w:cs="宋体"/>
                <w:sz w:val="21"/>
                <w:szCs w:val="21"/>
              </w:rPr>
              <w:tab/>
            </w:r>
          </w:p>
          <w:p w14:paraId="5463BC97">
            <w:pPr>
              <w:pStyle w:val="21"/>
              <w:spacing w:line="240" w:lineRule="auto"/>
              <w:rPr>
                <w:rFonts w:hint="eastAsia" w:ascii="宋体" w:hAnsi="宋体" w:eastAsia="宋体" w:cs="宋体"/>
                <w:sz w:val="21"/>
                <w:szCs w:val="21"/>
              </w:rPr>
            </w:pPr>
            <w:r>
              <w:rPr>
                <w:rFonts w:hint="eastAsia" w:ascii="宋体" w:hAnsi="宋体" w:eastAsia="宋体" w:cs="宋体"/>
                <w:sz w:val="21"/>
                <w:szCs w:val="21"/>
              </w:rPr>
              <w:t>3、抗拉强度</w:t>
            </w:r>
            <w:r>
              <w:rPr>
                <w:rFonts w:hint="eastAsia" w:ascii="宋体" w:hAnsi="宋体" w:eastAsia="宋体" w:cs="宋体"/>
                <w:sz w:val="21"/>
                <w:szCs w:val="21"/>
              </w:rPr>
              <w:tab/>
            </w:r>
            <w:r>
              <w:rPr>
                <w:rFonts w:hint="eastAsia" w:ascii="宋体" w:hAnsi="宋体" w:eastAsia="宋体" w:cs="宋体"/>
                <w:sz w:val="21"/>
                <w:szCs w:val="21"/>
              </w:rPr>
              <w:t>≥250 MPa</w:t>
            </w:r>
            <w:r>
              <w:rPr>
                <w:rFonts w:hint="eastAsia" w:ascii="宋体" w:hAnsi="宋体" w:eastAsia="宋体" w:cs="宋体"/>
                <w:sz w:val="21"/>
                <w:szCs w:val="21"/>
              </w:rPr>
              <w:tab/>
            </w:r>
          </w:p>
          <w:p w14:paraId="67BEA03C">
            <w:pPr>
              <w:pStyle w:val="21"/>
              <w:spacing w:line="240" w:lineRule="auto"/>
              <w:rPr>
                <w:rFonts w:hint="eastAsia" w:ascii="宋体" w:hAnsi="宋体" w:eastAsia="宋体" w:cs="宋体"/>
                <w:sz w:val="21"/>
                <w:szCs w:val="21"/>
              </w:rPr>
            </w:pPr>
            <w:r>
              <w:rPr>
                <w:rFonts w:hint="eastAsia" w:ascii="宋体" w:hAnsi="宋体" w:eastAsia="宋体" w:cs="宋体"/>
                <w:sz w:val="21"/>
                <w:szCs w:val="21"/>
              </w:rPr>
              <w:t>4、断后伸长率≥15%</w:t>
            </w:r>
            <w:r>
              <w:rPr>
                <w:rFonts w:hint="eastAsia" w:ascii="宋体" w:hAnsi="宋体" w:eastAsia="宋体" w:cs="宋体"/>
                <w:sz w:val="21"/>
                <w:szCs w:val="21"/>
              </w:rPr>
              <w:tab/>
            </w:r>
          </w:p>
          <w:p w14:paraId="1BB708F7">
            <w:pPr>
              <w:pStyle w:val="21"/>
              <w:spacing w:line="240" w:lineRule="auto"/>
              <w:rPr>
                <w:rFonts w:hint="eastAsia" w:ascii="宋体" w:hAnsi="宋体" w:eastAsia="宋体" w:cs="宋体"/>
                <w:sz w:val="21"/>
                <w:szCs w:val="21"/>
              </w:rPr>
            </w:pPr>
            <w:r>
              <w:rPr>
                <w:rFonts w:hint="eastAsia" w:ascii="宋体" w:hAnsi="宋体" w:eastAsia="宋体" w:cs="宋体"/>
                <w:sz w:val="21"/>
                <w:szCs w:val="21"/>
              </w:rPr>
              <w:t>5、韦氏硬度≥14HW</w:t>
            </w:r>
            <w:r>
              <w:rPr>
                <w:rFonts w:hint="eastAsia" w:ascii="宋体" w:hAnsi="宋体" w:eastAsia="宋体" w:cs="宋体"/>
                <w:sz w:val="21"/>
                <w:szCs w:val="21"/>
              </w:rPr>
              <w:tab/>
            </w:r>
          </w:p>
          <w:p w14:paraId="387911A8">
            <w:pPr>
              <w:pStyle w:val="21"/>
              <w:spacing w:line="240" w:lineRule="auto"/>
              <w:rPr>
                <w:rFonts w:hint="eastAsia" w:ascii="宋体" w:hAnsi="宋体" w:eastAsia="宋体" w:cs="宋体"/>
                <w:sz w:val="21"/>
                <w:szCs w:val="21"/>
              </w:rPr>
            </w:pPr>
            <w:r>
              <w:rPr>
                <w:rFonts w:hint="eastAsia" w:ascii="宋体" w:hAnsi="宋体" w:eastAsia="宋体" w:cs="宋体"/>
                <w:sz w:val="21"/>
                <w:szCs w:val="21"/>
              </w:rPr>
              <w:t>6、卷管壁厚≥2.0MM</w:t>
            </w:r>
            <w:r>
              <w:rPr>
                <w:rFonts w:hint="eastAsia" w:ascii="宋体" w:hAnsi="宋体" w:eastAsia="宋体" w:cs="宋体"/>
                <w:sz w:val="21"/>
                <w:szCs w:val="21"/>
              </w:rPr>
              <w:tab/>
            </w:r>
          </w:p>
          <w:p w14:paraId="6F2B6DA5">
            <w:pPr>
              <w:pStyle w:val="21"/>
              <w:spacing w:line="240" w:lineRule="auto"/>
              <w:rPr>
                <w:rFonts w:hint="eastAsia" w:ascii="宋体" w:hAnsi="宋体" w:eastAsia="宋体" w:cs="宋体"/>
                <w:sz w:val="21"/>
                <w:szCs w:val="21"/>
              </w:rPr>
            </w:pPr>
            <w:r>
              <w:rPr>
                <w:rFonts w:hint="eastAsia" w:ascii="宋体" w:hAnsi="宋体" w:eastAsia="宋体" w:cs="宋体"/>
                <w:sz w:val="21"/>
                <w:szCs w:val="21"/>
              </w:rPr>
              <w:t>7、卷管表面：阳极氧化或防腐涂层</w:t>
            </w:r>
            <w:r>
              <w:rPr>
                <w:rFonts w:hint="eastAsia" w:ascii="宋体" w:hAnsi="宋体" w:eastAsia="宋体" w:cs="宋体"/>
                <w:sz w:val="21"/>
                <w:szCs w:val="21"/>
              </w:rPr>
              <w:tab/>
            </w:r>
          </w:p>
          <w:p w14:paraId="035B8B22">
            <w:pPr>
              <w:pStyle w:val="21"/>
              <w:spacing w:line="240" w:lineRule="auto"/>
              <w:rPr>
                <w:rFonts w:hint="eastAsia" w:ascii="宋体" w:hAnsi="宋体" w:eastAsia="宋体" w:cs="宋体"/>
                <w:sz w:val="21"/>
                <w:szCs w:val="21"/>
              </w:rPr>
            </w:pPr>
            <w:r>
              <w:rPr>
                <w:rFonts w:hint="eastAsia" w:ascii="宋体" w:hAnsi="宋体" w:eastAsia="宋体" w:cs="宋体"/>
                <w:sz w:val="21"/>
                <w:szCs w:val="21"/>
              </w:rPr>
              <w:t>8、承重：对轨道施加30kg载荷，轨道未变形</w:t>
            </w:r>
            <w:r>
              <w:rPr>
                <w:rFonts w:hint="eastAsia" w:ascii="宋体" w:hAnsi="宋体" w:eastAsia="宋体" w:cs="宋体"/>
                <w:sz w:val="21"/>
                <w:szCs w:val="21"/>
              </w:rPr>
              <w:tab/>
            </w:r>
          </w:p>
          <w:p w14:paraId="73D6C10D">
            <w:pPr>
              <w:pStyle w:val="21"/>
              <w:spacing w:line="240" w:lineRule="auto"/>
              <w:rPr>
                <w:rFonts w:hint="eastAsia" w:ascii="宋体" w:hAnsi="宋体" w:eastAsia="宋体" w:cs="宋体"/>
                <w:sz w:val="21"/>
                <w:szCs w:val="21"/>
              </w:rPr>
            </w:pPr>
            <w:r>
              <w:rPr>
                <w:rFonts w:hint="eastAsia" w:ascii="宋体" w:hAnsi="宋体" w:eastAsia="宋体" w:cs="宋体"/>
                <w:b/>
                <w:bCs/>
                <w:sz w:val="21"/>
                <w:szCs w:val="21"/>
                <w:lang w:val="en-US" w:eastAsia="zh-CN"/>
              </w:rPr>
              <w:t>底</w:t>
            </w:r>
            <w:r>
              <w:rPr>
                <w:rFonts w:hint="eastAsia" w:ascii="宋体" w:hAnsi="宋体" w:eastAsia="宋体" w:cs="宋体"/>
                <w:b/>
                <w:bCs/>
                <w:sz w:val="21"/>
                <w:szCs w:val="21"/>
              </w:rPr>
              <w:t>杆</w:t>
            </w:r>
            <w:r>
              <w:rPr>
                <w:rFonts w:hint="eastAsia" w:ascii="宋体" w:hAnsi="宋体" w:eastAsia="宋体" w:cs="宋体"/>
                <w:sz w:val="21"/>
                <w:szCs w:val="21"/>
              </w:rPr>
              <w:tab/>
            </w:r>
          </w:p>
          <w:p w14:paraId="320FC42D">
            <w:pPr>
              <w:pStyle w:val="21"/>
              <w:spacing w:line="240" w:lineRule="auto"/>
              <w:rPr>
                <w:rFonts w:hint="eastAsia" w:ascii="宋体" w:hAnsi="宋体" w:eastAsia="宋体" w:cs="宋体"/>
                <w:sz w:val="21"/>
                <w:szCs w:val="21"/>
              </w:rPr>
            </w:pPr>
            <w:r>
              <w:rPr>
                <w:rFonts w:hint="eastAsia" w:ascii="宋体" w:hAnsi="宋体" w:eastAsia="宋体" w:cs="宋体"/>
                <w:sz w:val="21"/>
                <w:szCs w:val="21"/>
              </w:rPr>
              <w:t>1、规格：水滴型下梁外观尺寸≥32mm*11mm，阳极氧化处理，喷涂厚度为≥6U±1U，符合国家标准GB 3380-83</w:t>
            </w:r>
          </w:p>
          <w:p w14:paraId="32995E72">
            <w:pPr>
              <w:pStyle w:val="21"/>
              <w:spacing w:line="240" w:lineRule="auto"/>
              <w:rPr>
                <w:rFonts w:hint="eastAsia" w:ascii="宋体" w:hAnsi="宋体" w:eastAsia="宋体" w:cs="宋体"/>
                <w:sz w:val="21"/>
                <w:szCs w:val="21"/>
              </w:rPr>
            </w:pPr>
            <w:r>
              <w:rPr>
                <w:rFonts w:hint="eastAsia" w:ascii="宋体" w:hAnsi="宋体" w:eastAsia="宋体" w:cs="宋体"/>
                <w:sz w:val="21"/>
                <w:szCs w:val="21"/>
                <w:lang w:val="en-US" w:eastAsia="zh-CN"/>
              </w:rPr>
              <w:t>2</w:t>
            </w:r>
            <w:r>
              <w:rPr>
                <w:rFonts w:hint="eastAsia" w:ascii="宋体" w:hAnsi="宋体" w:eastAsia="宋体" w:cs="宋体"/>
                <w:sz w:val="21"/>
                <w:szCs w:val="21"/>
              </w:rPr>
              <w:t>、承重：对轨道施加30kg载荷，轨道未破坏</w:t>
            </w:r>
            <w:r>
              <w:rPr>
                <w:rFonts w:hint="eastAsia" w:ascii="宋体" w:hAnsi="宋体" w:eastAsia="宋体" w:cs="宋体"/>
                <w:sz w:val="21"/>
                <w:szCs w:val="21"/>
              </w:rPr>
              <w:tab/>
            </w:r>
          </w:p>
          <w:p w14:paraId="2152424E">
            <w:pPr>
              <w:pStyle w:val="21"/>
              <w:spacing w:line="240" w:lineRule="auto"/>
              <w:rPr>
                <w:rFonts w:hint="eastAsia" w:ascii="宋体" w:hAnsi="宋体" w:eastAsia="宋体" w:cs="宋体"/>
                <w:sz w:val="21"/>
                <w:szCs w:val="21"/>
              </w:rPr>
            </w:pPr>
            <w:r>
              <w:rPr>
                <w:rFonts w:hint="eastAsia" w:ascii="宋体" w:hAnsi="宋体" w:eastAsia="宋体" w:cs="宋体"/>
                <w:sz w:val="21"/>
                <w:szCs w:val="21"/>
                <w:lang w:val="en-US" w:eastAsia="zh-CN"/>
              </w:rPr>
              <w:t>3</w:t>
            </w:r>
            <w:r>
              <w:rPr>
                <w:rFonts w:hint="eastAsia" w:ascii="宋体" w:hAnsi="宋体" w:eastAsia="宋体" w:cs="宋体"/>
                <w:sz w:val="21"/>
                <w:szCs w:val="21"/>
              </w:rPr>
              <w:t>、材料：高强度优质铝合金材质</w:t>
            </w:r>
            <w:r>
              <w:rPr>
                <w:rFonts w:hint="eastAsia" w:ascii="宋体" w:hAnsi="宋体" w:eastAsia="宋体" w:cs="宋体"/>
                <w:sz w:val="21"/>
                <w:szCs w:val="21"/>
              </w:rPr>
              <w:tab/>
            </w:r>
          </w:p>
          <w:p w14:paraId="75815A1D">
            <w:pPr>
              <w:pStyle w:val="21"/>
              <w:spacing w:line="240" w:lineRule="auto"/>
              <w:rPr>
                <w:rFonts w:hint="eastAsia" w:ascii="宋体" w:hAnsi="宋体" w:eastAsia="宋体" w:cs="宋体"/>
                <w:sz w:val="21"/>
                <w:szCs w:val="21"/>
              </w:rPr>
            </w:pPr>
            <w:r>
              <w:rPr>
                <w:rFonts w:hint="eastAsia" w:ascii="宋体" w:hAnsi="宋体" w:eastAsia="宋体" w:cs="宋体"/>
                <w:sz w:val="21"/>
                <w:szCs w:val="21"/>
                <w:lang w:val="en-US" w:eastAsia="zh-CN"/>
              </w:rPr>
              <w:t>4</w:t>
            </w:r>
            <w:r>
              <w:rPr>
                <w:rFonts w:hint="eastAsia" w:ascii="宋体" w:hAnsi="宋体" w:eastAsia="宋体" w:cs="宋体"/>
                <w:sz w:val="21"/>
                <w:szCs w:val="21"/>
              </w:rPr>
              <w:t>、壁厚≥1.4mm</w:t>
            </w:r>
            <w:r>
              <w:rPr>
                <w:rFonts w:hint="eastAsia" w:ascii="宋体" w:hAnsi="宋体" w:eastAsia="宋体" w:cs="宋体"/>
                <w:sz w:val="21"/>
                <w:szCs w:val="21"/>
              </w:rPr>
              <w:tab/>
            </w:r>
          </w:p>
          <w:p w14:paraId="2822DD3E">
            <w:pPr>
              <w:pStyle w:val="21"/>
              <w:spacing w:line="240" w:lineRule="auto"/>
              <w:rPr>
                <w:rFonts w:hint="eastAsia" w:ascii="宋体" w:hAnsi="宋体" w:eastAsia="宋体" w:cs="宋体"/>
                <w:sz w:val="21"/>
                <w:szCs w:val="21"/>
              </w:rPr>
            </w:pPr>
            <w:r>
              <w:rPr>
                <w:rFonts w:hint="eastAsia" w:ascii="宋体" w:hAnsi="宋体" w:eastAsia="宋体" w:cs="宋体"/>
                <w:sz w:val="21"/>
                <w:szCs w:val="21"/>
                <w:lang w:val="en-US" w:eastAsia="zh-CN"/>
              </w:rPr>
              <w:t>5</w:t>
            </w:r>
            <w:r>
              <w:rPr>
                <w:rFonts w:hint="eastAsia" w:ascii="宋体" w:hAnsi="宋体" w:eastAsia="宋体" w:cs="宋体"/>
                <w:sz w:val="21"/>
                <w:szCs w:val="21"/>
              </w:rPr>
              <w:t>、克重≥380g/m</w:t>
            </w:r>
            <w:r>
              <w:rPr>
                <w:rFonts w:hint="eastAsia" w:ascii="宋体" w:hAnsi="宋体" w:eastAsia="宋体" w:cs="宋体"/>
                <w:sz w:val="21"/>
                <w:szCs w:val="21"/>
              </w:rPr>
              <w:tab/>
            </w:r>
          </w:p>
          <w:p w14:paraId="482920B5">
            <w:pPr>
              <w:pStyle w:val="21"/>
              <w:spacing w:line="240" w:lineRule="auto"/>
              <w:rPr>
                <w:rFonts w:hint="eastAsia" w:ascii="宋体" w:hAnsi="宋体" w:eastAsia="宋体" w:cs="宋体"/>
                <w:sz w:val="21"/>
                <w:szCs w:val="21"/>
              </w:rPr>
            </w:pPr>
            <w:r>
              <w:rPr>
                <w:rFonts w:hint="eastAsia" w:ascii="宋体" w:hAnsi="宋体" w:eastAsia="宋体" w:cs="宋体"/>
                <w:sz w:val="21"/>
                <w:szCs w:val="21"/>
                <w:lang w:val="en-US" w:eastAsia="zh-CN"/>
              </w:rPr>
              <w:t>6</w:t>
            </w:r>
            <w:r>
              <w:rPr>
                <w:rFonts w:hint="eastAsia" w:ascii="宋体" w:hAnsi="宋体" w:eastAsia="宋体" w:cs="宋体"/>
                <w:sz w:val="21"/>
                <w:szCs w:val="21"/>
              </w:rPr>
              <w:t>、规定非比例延伸强度≥200Mpa</w:t>
            </w:r>
            <w:r>
              <w:rPr>
                <w:rFonts w:hint="eastAsia" w:ascii="宋体" w:hAnsi="宋体" w:eastAsia="宋体" w:cs="宋体"/>
                <w:sz w:val="21"/>
                <w:szCs w:val="21"/>
              </w:rPr>
              <w:tab/>
            </w:r>
          </w:p>
          <w:p w14:paraId="6ECB3267">
            <w:pPr>
              <w:pStyle w:val="21"/>
              <w:spacing w:line="240" w:lineRule="auto"/>
              <w:rPr>
                <w:rFonts w:hint="eastAsia" w:ascii="宋体" w:hAnsi="宋体" w:eastAsia="宋体" w:cs="宋体"/>
                <w:sz w:val="21"/>
                <w:szCs w:val="21"/>
              </w:rPr>
            </w:pPr>
            <w:r>
              <w:rPr>
                <w:rFonts w:hint="eastAsia" w:ascii="宋体" w:hAnsi="宋体" w:eastAsia="宋体" w:cs="宋体"/>
                <w:sz w:val="21"/>
                <w:szCs w:val="21"/>
                <w:lang w:val="en-US" w:eastAsia="zh-CN"/>
              </w:rPr>
              <w:t>7</w:t>
            </w:r>
            <w:r>
              <w:rPr>
                <w:rFonts w:hint="eastAsia" w:ascii="宋体" w:hAnsi="宋体" w:eastAsia="宋体" w:cs="宋体"/>
                <w:sz w:val="21"/>
                <w:szCs w:val="21"/>
              </w:rPr>
              <w:t>、断后伸长率≥17%</w:t>
            </w:r>
            <w:r>
              <w:rPr>
                <w:rFonts w:hint="eastAsia" w:ascii="宋体" w:hAnsi="宋体" w:eastAsia="宋体" w:cs="宋体"/>
                <w:sz w:val="21"/>
                <w:szCs w:val="21"/>
              </w:rPr>
              <w:tab/>
            </w:r>
          </w:p>
          <w:p w14:paraId="403E0D73">
            <w:pPr>
              <w:pStyle w:val="21"/>
              <w:spacing w:line="240" w:lineRule="auto"/>
              <w:rPr>
                <w:rFonts w:hint="eastAsia" w:ascii="宋体" w:hAnsi="宋体" w:eastAsia="宋体" w:cs="宋体"/>
                <w:sz w:val="21"/>
                <w:szCs w:val="21"/>
              </w:rPr>
            </w:pPr>
            <w:r>
              <w:rPr>
                <w:rFonts w:hint="eastAsia" w:ascii="宋体" w:hAnsi="宋体" w:eastAsia="宋体" w:cs="宋体"/>
                <w:sz w:val="21"/>
                <w:szCs w:val="21"/>
                <w:lang w:val="en-US" w:eastAsia="zh-CN"/>
              </w:rPr>
              <w:t>8</w:t>
            </w:r>
            <w:r>
              <w:rPr>
                <w:rFonts w:hint="eastAsia" w:ascii="宋体" w:hAnsi="宋体" w:eastAsia="宋体" w:cs="宋体"/>
                <w:sz w:val="21"/>
                <w:szCs w:val="21"/>
              </w:rPr>
              <w:t>、抗拉强度≥240Mpa</w:t>
            </w:r>
            <w:r>
              <w:rPr>
                <w:rFonts w:hint="eastAsia" w:ascii="宋体" w:hAnsi="宋体" w:eastAsia="宋体" w:cs="宋体"/>
                <w:sz w:val="21"/>
                <w:szCs w:val="21"/>
              </w:rPr>
              <w:tab/>
            </w:r>
          </w:p>
          <w:p w14:paraId="608D21AD">
            <w:pPr>
              <w:pStyle w:val="21"/>
              <w:spacing w:line="240" w:lineRule="auto"/>
              <w:rPr>
                <w:sz w:val="18"/>
                <w:szCs w:val="18"/>
                <w:highlight w:val="none"/>
              </w:rPr>
            </w:pPr>
            <w:r>
              <w:rPr>
                <w:rFonts w:hint="eastAsia" w:ascii="宋体" w:hAnsi="宋体" w:eastAsia="宋体" w:cs="宋体"/>
                <w:sz w:val="21"/>
                <w:szCs w:val="21"/>
                <w:lang w:val="en-US" w:eastAsia="zh-CN"/>
              </w:rPr>
              <w:t>9</w:t>
            </w:r>
            <w:r>
              <w:rPr>
                <w:rFonts w:hint="eastAsia" w:ascii="宋体" w:hAnsi="宋体" w:eastAsia="宋体" w:cs="宋体"/>
                <w:sz w:val="21"/>
                <w:szCs w:val="21"/>
              </w:rPr>
              <w:t>、韦氏硬度≥12HV</w:t>
            </w:r>
          </w:p>
        </w:tc>
        <w:tc>
          <w:tcPr>
            <w:tcW w:w="990" w:type="dxa"/>
          </w:tcPr>
          <w:p w14:paraId="2A0CB5D1">
            <w:pPr>
              <w:keepNext w:val="0"/>
              <w:keepLines w:val="0"/>
              <w:pageBreakBefore w:val="0"/>
              <w:kinsoku/>
              <w:wordWrap/>
              <w:overflowPunct/>
              <w:topLinePunct w:val="0"/>
              <w:bidi w:val="0"/>
              <w:adjustRightInd/>
              <w:snapToGrid/>
              <w:jc w:val="center"/>
              <w:textAlignment w:val="auto"/>
              <w:rPr>
                <w:rFonts w:ascii="宋体" w:hAnsi="宋体"/>
                <w:sz w:val="18"/>
                <w:szCs w:val="18"/>
                <w:highlight w:val="none"/>
              </w:rPr>
            </w:pPr>
          </w:p>
        </w:tc>
        <w:tc>
          <w:tcPr>
            <w:tcW w:w="1020" w:type="dxa"/>
          </w:tcPr>
          <w:p w14:paraId="61DC6C0C">
            <w:pPr>
              <w:keepNext w:val="0"/>
              <w:keepLines w:val="0"/>
              <w:pageBreakBefore w:val="0"/>
              <w:kinsoku/>
              <w:wordWrap/>
              <w:overflowPunct/>
              <w:topLinePunct w:val="0"/>
              <w:bidi w:val="0"/>
              <w:adjustRightInd/>
              <w:snapToGrid/>
              <w:jc w:val="center"/>
              <w:textAlignment w:val="auto"/>
              <w:rPr>
                <w:rFonts w:ascii="宋体" w:hAnsi="宋体"/>
                <w:sz w:val="18"/>
                <w:szCs w:val="18"/>
                <w:highlight w:val="none"/>
              </w:rPr>
            </w:pPr>
          </w:p>
        </w:tc>
        <w:tc>
          <w:tcPr>
            <w:tcW w:w="713" w:type="dxa"/>
          </w:tcPr>
          <w:p w14:paraId="23BAAE9A">
            <w:pPr>
              <w:keepNext w:val="0"/>
              <w:keepLines w:val="0"/>
              <w:pageBreakBefore w:val="0"/>
              <w:kinsoku/>
              <w:wordWrap/>
              <w:overflowPunct/>
              <w:topLinePunct w:val="0"/>
              <w:bidi w:val="0"/>
              <w:adjustRightInd/>
              <w:snapToGrid/>
              <w:jc w:val="center"/>
              <w:textAlignment w:val="auto"/>
              <w:rPr>
                <w:rFonts w:ascii="宋体" w:hAnsi="宋体"/>
                <w:sz w:val="18"/>
                <w:szCs w:val="18"/>
                <w:highlight w:val="none"/>
              </w:rPr>
            </w:pPr>
          </w:p>
        </w:tc>
      </w:tr>
      <w:tr w14:paraId="4C47F4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851" w:type="dxa"/>
            <w:vAlign w:val="center"/>
          </w:tcPr>
          <w:p w14:paraId="1A570E6D">
            <w:pPr>
              <w:keepNext w:val="0"/>
              <w:keepLines w:val="0"/>
              <w:pageBreakBefore w:val="0"/>
              <w:kinsoku/>
              <w:wordWrap/>
              <w:overflowPunct/>
              <w:topLinePunct w:val="0"/>
              <w:autoSpaceDE w:val="0"/>
              <w:autoSpaceDN w:val="0"/>
              <w:bidi w:val="0"/>
              <w:adjustRightInd/>
              <w:snapToGrid/>
              <w:spacing w:line="240" w:lineRule="auto"/>
              <w:jc w:val="center"/>
              <w:textAlignment w:val="auto"/>
              <w:outlineLvl w:val="0"/>
              <w:rPr>
                <w:rFonts w:ascii="宋体" w:hAnsi="宋体"/>
                <w:sz w:val="18"/>
                <w:szCs w:val="18"/>
                <w:highlight w:val="none"/>
              </w:rPr>
            </w:pPr>
            <w:r>
              <w:rPr>
                <w:rFonts w:hint="eastAsia" w:ascii="宋体" w:hAnsi="宋体" w:eastAsia="宋体" w:cs="宋体"/>
                <w:sz w:val="18"/>
                <w:szCs w:val="18"/>
                <w:highlight w:val="none"/>
                <w:lang w:val="en-US" w:eastAsia="zh-CN"/>
              </w:rPr>
              <w:t>5</w:t>
            </w:r>
          </w:p>
        </w:tc>
        <w:tc>
          <w:tcPr>
            <w:tcW w:w="1030" w:type="dxa"/>
            <w:vAlign w:val="center"/>
          </w:tcPr>
          <w:p w14:paraId="4039454F">
            <w:pPr>
              <w:autoSpaceDE w:val="0"/>
              <w:autoSpaceDN w:val="0"/>
              <w:spacing w:line="240" w:lineRule="auto"/>
              <w:jc w:val="center"/>
              <w:outlineLvl w:val="0"/>
              <w:rPr>
                <w:sz w:val="18"/>
                <w:szCs w:val="18"/>
                <w:highlight w:val="none"/>
              </w:rPr>
            </w:pPr>
            <w:r>
              <w:rPr>
                <w:rFonts w:hint="eastAsia" w:ascii="宋体" w:hAnsi="宋体" w:eastAsia="宋体" w:cs="宋体"/>
                <w:sz w:val="21"/>
                <w:szCs w:val="21"/>
              </w:rPr>
              <w:t>制头、拉珠</w:t>
            </w:r>
          </w:p>
        </w:tc>
        <w:tc>
          <w:tcPr>
            <w:tcW w:w="5197" w:type="dxa"/>
            <w:vAlign w:val="center"/>
          </w:tcPr>
          <w:p w14:paraId="2A0B3DEC">
            <w:pPr>
              <w:pStyle w:val="21"/>
              <w:spacing w:line="240" w:lineRule="auto"/>
              <w:rPr>
                <w:rFonts w:hint="eastAsia" w:ascii="宋体" w:hAnsi="宋体" w:eastAsia="宋体" w:cs="宋体"/>
                <w:b/>
                <w:bCs/>
                <w:sz w:val="21"/>
                <w:szCs w:val="21"/>
              </w:rPr>
            </w:pPr>
            <w:r>
              <w:rPr>
                <w:rFonts w:hint="eastAsia" w:ascii="宋体" w:hAnsi="宋体" w:eastAsia="宋体" w:cs="宋体"/>
                <w:b/>
                <w:bCs/>
                <w:sz w:val="21"/>
                <w:szCs w:val="21"/>
              </w:rPr>
              <w:t>制头结构</w:t>
            </w:r>
          </w:p>
          <w:p w14:paraId="4DA6108D">
            <w:pPr>
              <w:pStyle w:val="21"/>
              <w:spacing w:line="240" w:lineRule="auto"/>
              <w:rPr>
                <w:rFonts w:hint="eastAsia" w:ascii="宋体" w:hAnsi="宋体" w:eastAsia="宋体" w:cs="宋体"/>
                <w:sz w:val="21"/>
                <w:szCs w:val="21"/>
              </w:rPr>
            </w:pPr>
            <w:r>
              <w:rPr>
                <w:rFonts w:hint="eastAsia" w:ascii="宋体" w:hAnsi="宋体" w:eastAsia="宋体" w:cs="宋体"/>
                <w:sz w:val="21"/>
                <w:szCs w:val="21"/>
              </w:rPr>
              <w:t>1、金属弹簧座：内置金属弹簧座，1：5的行星齿轮减速系统，系统省力效果好，高强度的尼龙工程塑料、金属芯的刹车技术</w:t>
            </w:r>
            <w:r>
              <w:rPr>
                <w:rFonts w:hint="eastAsia" w:ascii="宋体" w:hAnsi="宋体" w:eastAsia="宋体" w:cs="宋体"/>
                <w:sz w:val="21"/>
                <w:szCs w:val="21"/>
              </w:rPr>
              <w:tab/>
            </w:r>
          </w:p>
          <w:p w14:paraId="126B9BC9">
            <w:pPr>
              <w:pStyle w:val="21"/>
              <w:spacing w:line="240" w:lineRule="auto"/>
              <w:rPr>
                <w:rFonts w:hint="eastAsia" w:ascii="宋体" w:hAnsi="宋体" w:eastAsia="宋体" w:cs="宋体"/>
                <w:sz w:val="21"/>
                <w:szCs w:val="21"/>
              </w:rPr>
            </w:pPr>
            <w:r>
              <w:rPr>
                <w:rFonts w:hint="eastAsia" w:ascii="宋体" w:hAnsi="宋体" w:eastAsia="宋体" w:cs="宋体"/>
                <w:sz w:val="21"/>
                <w:szCs w:val="21"/>
              </w:rPr>
              <w:t>2、制尾限位系统：方便限位；可调限位器，调整方便；挂钩式制尾安装码系统，间隙小，安装方便</w:t>
            </w:r>
          </w:p>
          <w:p w14:paraId="19F3E753">
            <w:pPr>
              <w:pStyle w:val="21"/>
              <w:spacing w:line="240" w:lineRule="auto"/>
              <w:rPr>
                <w:rFonts w:hint="eastAsia" w:ascii="宋体" w:hAnsi="宋体" w:eastAsia="宋体" w:cs="宋体"/>
                <w:sz w:val="21"/>
                <w:szCs w:val="21"/>
              </w:rPr>
            </w:pPr>
            <w:r>
              <w:rPr>
                <w:rFonts w:hint="eastAsia" w:ascii="宋体" w:hAnsi="宋体" w:eastAsia="宋体" w:cs="宋体"/>
                <w:sz w:val="21"/>
                <w:szCs w:val="21"/>
              </w:rPr>
              <w:t>3、拉珠制头为可360度旋转的万向制头，固定制头的头安装码和尾安装码的固定螺丝孔位处需安装可拆卸式磁吸保护盖，保护盖规格应为长60*宽27*高11mm，通过保护盖内藏磁铁可吸附在头、尾安装码上（保护盖不允许螺丝和胶粘固定），窗帘安装完成后吸上磁吸保护盖遮盖防止螺丝外露不美观，维修时可轻易取下磁吸保护盖；拉珠需和制头配色</w:t>
            </w:r>
          </w:p>
          <w:p w14:paraId="622D3551">
            <w:pPr>
              <w:pStyle w:val="21"/>
              <w:spacing w:line="240" w:lineRule="auto"/>
              <w:rPr>
                <w:rFonts w:hint="eastAsia" w:ascii="宋体" w:hAnsi="宋体" w:eastAsia="宋体" w:cs="宋体"/>
                <w:sz w:val="21"/>
                <w:szCs w:val="21"/>
              </w:rPr>
            </w:pPr>
            <w:r>
              <w:rPr>
                <w:rFonts w:hint="eastAsia" w:ascii="宋体" w:hAnsi="宋体" w:eastAsia="宋体" w:cs="宋体"/>
                <w:sz w:val="21"/>
                <w:szCs w:val="21"/>
              </w:rPr>
              <w:t>4、性能：1：5减速比，带减速省力装置，省力超过50%以上；高强度工程塑料配件，配件需抗紫外线、耐冲击适用于重型卷帘；最大称重18KG，最宽度可用于小于4米，高度小于10米的大型卷帘</w:t>
            </w:r>
          </w:p>
          <w:p w14:paraId="510B3C95">
            <w:pPr>
              <w:pStyle w:val="21"/>
              <w:spacing w:line="240" w:lineRule="auto"/>
              <w:rPr>
                <w:rFonts w:hint="eastAsia" w:ascii="宋体" w:hAnsi="宋体" w:eastAsia="宋体" w:cs="宋体"/>
                <w:b/>
                <w:bCs/>
                <w:sz w:val="21"/>
                <w:szCs w:val="21"/>
              </w:rPr>
            </w:pPr>
            <w:r>
              <w:rPr>
                <w:rFonts w:hint="eastAsia" w:ascii="宋体" w:hAnsi="宋体" w:eastAsia="宋体" w:cs="宋体"/>
                <w:sz w:val="21"/>
                <w:szCs w:val="21"/>
              </w:rPr>
              <w:t>5、功能：内置优质金属承重芯，优质进口弹簧，具有噪音小，手感轻，承重大等优点；使用寿命达10000次以上；安装码不小于2.0mm的钢板，表面防腐处理</w:t>
            </w:r>
          </w:p>
          <w:p w14:paraId="19C6FD53">
            <w:pPr>
              <w:pStyle w:val="21"/>
              <w:spacing w:line="240" w:lineRule="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拉珠</w:t>
            </w:r>
          </w:p>
          <w:p w14:paraId="41D136FB">
            <w:pPr>
              <w:pStyle w:val="21"/>
              <w:spacing w:line="240" w:lineRule="auto"/>
              <w:rPr>
                <w:rFonts w:hint="eastAsia" w:ascii="宋体" w:hAnsi="宋体" w:eastAsia="宋体" w:cs="宋体"/>
                <w:sz w:val="21"/>
                <w:szCs w:val="21"/>
              </w:rPr>
            </w:pPr>
            <w:r>
              <w:rPr>
                <w:rFonts w:hint="eastAsia" w:ascii="宋体" w:hAnsi="宋体" w:eastAsia="宋体" w:cs="宋体"/>
                <w:sz w:val="21"/>
                <w:szCs w:val="21"/>
              </w:rPr>
              <w:t>1、拉珠材质要求：采用POM优质工程塑料，¢7拉珠，表面光滑，无毛刺，配色和谐，耐磨、耐老化，性能优异；拉绳采用高强聚酯纤维</w:t>
            </w:r>
            <w:r>
              <w:rPr>
                <w:rFonts w:hint="eastAsia" w:ascii="宋体" w:hAnsi="宋体" w:eastAsia="宋体" w:cs="宋体"/>
                <w:sz w:val="21"/>
                <w:szCs w:val="21"/>
              </w:rPr>
              <w:tab/>
            </w:r>
          </w:p>
          <w:p w14:paraId="6C8138F6">
            <w:pPr>
              <w:pStyle w:val="21"/>
              <w:spacing w:line="240" w:lineRule="auto"/>
              <w:rPr>
                <w:rFonts w:hint="eastAsia" w:ascii="宋体" w:hAnsi="宋体" w:eastAsia="宋体" w:cs="宋体"/>
                <w:sz w:val="21"/>
                <w:szCs w:val="21"/>
              </w:rPr>
            </w:pPr>
            <w:r>
              <w:rPr>
                <w:rFonts w:hint="eastAsia" w:ascii="宋体" w:hAnsi="宋体" w:eastAsia="宋体" w:cs="宋体"/>
                <w:sz w:val="21"/>
                <w:szCs w:val="21"/>
              </w:rPr>
              <w:t>2、拉绳抗拉力≥620N</w:t>
            </w:r>
            <w:r>
              <w:rPr>
                <w:rFonts w:hint="eastAsia" w:ascii="宋体" w:hAnsi="宋体" w:eastAsia="宋体" w:cs="宋体"/>
                <w:sz w:val="21"/>
                <w:szCs w:val="21"/>
              </w:rPr>
              <w:tab/>
            </w:r>
          </w:p>
          <w:p w14:paraId="119DC3D3">
            <w:pPr>
              <w:pStyle w:val="21"/>
              <w:spacing w:line="240" w:lineRule="auto"/>
              <w:rPr>
                <w:rFonts w:hint="eastAsia" w:ascii="宋体" w:hAnsi="宋体" w:eastAsia="宋体" w:cs="宋体"/>
                <w:sz w:val="21"/>
                <w:szCs w:val="21"/>
              </w:rPr>
            </w:pPr>
            <w:r>
              <w:rPr>
                <w:rFonts w:hint="eastAsia" w:ascii="宋体" w:hAnsi="宋体" w:eastAsia="宋体" w:cs="宋体"/>
                <w:sz w:val="21"/>
                <w:szCs w:val="21"/>
              </w:rPr>
              <w:t>3、拉珠直径</w:t>
            </w:r>
            <w:r>
              <w:rPr>
                <w:rFonts w:hint="eastAsia" w:ascii="宋体" w:hAnsi="宋体" w:eastAsia="宋体" w:cs="宋体"/>
                <w:sz w:val="21"/>
                <w:szCs w:val="21"/>
              </w:rPr>
              <w:tab/>
            </w:r>
            <w:r>
              <w:rPr>
                <w:rFonts w:hint="eastAsia" w:ascii="宋体" w:hAnsi="宋体" w:eastAsia="宋体" w:cs="宋体"/>
                <w:sz w:val="21"/>
                <w:szCs w:val="21"/>
              </w:rPr>
              <w:t>5.3mm</w:t>
            </w:r>
            <w:r>
              <w:rPr>
                <w:rFonts w:hint="eastAsia" w:ascii="宋体" w:hAnsi="宋体" w:eastAsia="宋体" w:cs="宋体"/>
                <w:sz w:val="21"/>
                <w:szCs w:val="21"/>
              </w:rPr>
              <w:tab/>
            </w:r>
          </w:p>
          <w:p w14:paraId="0D200961">
            <w:pPr>
              <w:pStyle w:val="21"/>
              <w:spacing w:line="240" w:lineRule="auto"/>
              <w:rPr>
                <w:rFonts w:hint="eastAsia" w:ascii="宋体" w:hAnsi="宋体" w:eastAsia="宋体" w:cs="宋体"/>
                <w:sz w:val="21"/>
                <w:szCs w:val="21"/>
                <w:highlight w:val="yellow"/>
                <w:lang w:val="en-US" w:eastAsia="zh-CN"/>
              </w:rPr>
            </w:pPr>
          </w:p>
          <w:p w14:paraId="61406CB9">
            <w:pPr>
              <w:pStyle w:val="21"/>
              <w:spacing w:line="240" w:lineRule="auto"/>
              <w:rPr>
                <w:rFonts w:hint="eastAsia" w:ascii="宋体" w:hAnsi="宋体" w:eastAsia="宋体" w:cs="宋体"/>
                <w:b/>
                <w:bCs/>
                <w:sz w:val="21"/>
                <w:szCs w:val="21"/>
                <w:highlight w:val="yellow"/>
                <w:lang w:val="en-US" w:eastAsia="zh-CN"/>
              </w:rPr>
            </w:pPr>
            <w:r>
              <w:rPr>
                <w:rFonts w:hint="eastAsia" w:ascii="宋体" w:hAnsi="宋体" w:eastAsia="宋体" w:cs="宋体"/>
                <w:b/>
                <w:bCs/>
                <w:sz w:val="21"/>
                <w:szCs w:val="21"/>
                <w:highlight w:val="yellow"/>
                <w:lang w:val="en-US" w:eastAsia="zh-CN"/>
              </w:rPr>
              <w:t>特别说明：</w:t>
            </w:r>
          </w:p>
          <w:p w14:paraId="2B3CFF79">
            <w:pPr>
              <w:pStyle w:val="21"/>
              <w:spacing w:line="240" w:lineRule="auto"/>
              <w:rPr>
                <w:rFonts w:hint="eastAsia" w:ascii="宋体" w:hAnsi="宋体" w:eastAsia="宋体" w:cs="宋体"/>
                <w:b/>
                <w:bCs/>
                <w:sz w:val="21"/>
                <w:szCs w:val="21"/>
                <w:highlight w:val="yellow"/>
                <w:lang w:val="en-US" w:eastAsia="zh-CN"/>
              </w:rPr>
            </w:pPr>
            <w:r>
              <w:rPr>
                <w:rFonts w:hint="eastAsia" w:ascii="宋体" w:hAnsi="宋体" w:eastAsia="宋体" w:cs="宋体"/>
                <w:b/>
                <w:bCs/>
                <w:sz w:val="21"/>
                <w:szCs w:val="21"/>
                <w:highlight w:val="yellow"/>
                <w:lang w:val="en-US" w:eastAsia="zh-CN"/>
              </w:rPr>
              <w:t>1、辅材包含但不限于：安装码、尾塞、拉珠、拉珠制头、上杆、下杆、封头等其他未列明辅材，具体数量由各供应商根据供货需求和采购人实际要求综合考虑进行配置。</w:t>
            </w:r>
          </w:p>
          <w:p w14:paraId="60B3D386">
            <w:pPr>
              <w:pStyle w:val="21"/>
              <w:spacing w:line="240" w:lineRule="auto"/>
              <w:rPr>
                <w:sz w:val="18"/>
                <w:szCs w:val="18"/>
                <w:highlight w:val="none"/>
              </w:rPr>
            </w:pPr>
            <w:r>
              <w:rPr>
                <w:rFonts w:hint="eastAsia" w:ascii="宋体" w:hAnsi="宋体" w:eastAsia="宋体" w:cs="宋体"/>
                <w:b/>
                <w:bCs/>
                <w:sz w:val="21"/>
                <w:szCs w:val="21"/>
                <w:highlight w:val="yellow"/>
                <w:lang w:val="en-US" w:eastAsia="zh-CN"/>
              </w:rPr>
              <w:t>2、辅材和主材的色系花纹等搭配要协调。</w:t>
            </w:r>
          </w:p>
        </w:tc>
        <w:tc>
          <w:tcPr>
            <w:tcW w:w="990" w:type="dxa"/>
          </w:tcPr>
          <w:p w14:paraId="33243CEF">
            <w:pPr>
              <w:keepNext w:val="0"/>
              <w:keepLines w:val="0"/>
              <w:pageBreakBefore w:val="0"/>
              <w:kinsoku/>
              <w:wordWrap/>
              <w:overflowPunct/>
              <w:topLinePunct w:val="0"/>
              <w:bidi w:val="0"/>
              <w:adjustRightInd/>
              <w:snapToGrid/>
              <w:jc w:val="center"/>
              <w:textAlignment w:val="auto"/>
              <w:rPr>
                <w:rFonts w:ascii="宋体" w:hAnsi="宋体"/>
                <w:sz w:val="18"/>
                <w:szCs w:val="18"/>
                <w:highlight w:val="none"/>
              </w:rPr>
            </w:pPr>
          </w:p>
        </w:tc>
        <w:tc>
          <w:tcPr>
            <w:tcW w:w="1020" w:type="dxa"/>
          </w:tcPr>
          <w:p w14:paraId="29728F96">
            <w:pPr>
              <w:keepNext w:val="0"/>
              <w:keepLines w:val="0"/>
              <w:pageBreakBefore w:val="0"/>
              <w:kinsoku/>
              <w:wordWrap/>
              <w:overflowPunct/>
              <w:topLinePunct w:val="0"/>
              <w:bidi w:val="0"/>
              <w:adjustRightInd/>
              <w:snapToGrid/>
              <w:jc w:val="center"/>
              <w:textAlignment w:val="auto"/>
              <w:rPr>
                <w:rFonts w:ascii="宋体" w:hAnsi="宋体"/>
                <w:sz w:val="18"/>
                <w:szCs w:val="18"/>
                <w:highlight w:val="none"/>
              </w:rPr>
            </w:pPr>
          </w:p>
        </w:tc>
        <w:tc>
          <w:tcPr>
            <w:tcW w:w="713" w:type="dxa"/>
          </w:tcPr>
          <w:p w14:paraId="2D62C566">
            <w:pPr>
              <w:keepNext w:val="0"/>
              <w:keepLines w:val="0"/>
              <w:pageBreakBefore w:val="0"/>
              <w:kinsoku/>
              <w:wordWrap/>
              <w:overflowPunct/>
              <w:topLinePunct w:val="0"/>
              <w:bidi w:val="0"/>
              <w:adjustRightInd/>
              <w:snapToGrid/>
              <w:jc w:val="center"/>
              <w:textAlignment w:val="auto"/>
              <w:rPr>
                <w:rFonts w:ascii="宋体" w:hAnsi="宋体"/>
                <w:sz w:val="18"/>
                <w:szCs w:val="18"/>
                <w:highlight w:val="none"/>
              </w:rPr>
            </w:pPr>
          </w:p>
        </w:tc>
      </w:tr>
    </w:tbl>
    <w:p w14:paraId="3F4C311B">
      <w:pPr>
        <w:rPr>
          <w:rFonts w:ascii="宋体" w:hAnsi="宋体"/>
          <w:sz w:val="24"/>
          <w:highlight w:val="none"/>
        </w:rPr>
      </w:pPr>
    </w:p>
    <w:p w14:paraId="72A71589">
      <w:pPr>
        <w:rPr>
          <w:rFonts w:ascii="宋体" w:hAnsi="宋体"/>
          <w:sz w:val="24"/>
          <w:highlight w:val="none"/>
          <w:u w:val="single"/>
        </w:rPr>
      </w:pPr>
      <w:r>
        <w:rPr>
          <w:rFonts w:hint="eastAsia" w:ascii="宋体" w:hAnsi="宋体"/>
          <w:sz w:val="24"/>
          <w:highlight w:val="none"/>
        </w:rPr>
        <w:t>法定代表人或授权代表签字：</w:t>
      </w:r>
      <w:r>
        <w:rPr>
          <w:rFonts w:hint="eastAsia" w:ascii="宋体" w:hAnsi="宋体"/>
          <w:sz w:val="24"/>
          <w:highlight w:val="none"/>
          <w:u w:val="single"/>
        </w:rPr>
        <w:t xml:space="preserve">        </w:t>
      </w:r>
    </w:p>
    <w:p w14:paraId="3CE85C25">
      <w:pPr>
        <w:pStyle w:val="14"/>
        <w:ind w:firstLine="210"/>
        <w:rPr>
          <w:highlight w:val="none"/>
        </w:rPr>
      </w:pPr>
    </w:p>
    <w:p w14:paraId="130D3420">
      <w:pPr>
        <w:rPr>
          <w:rFonts w:hint="default" w:ascii="宋体" w:hAnsi="宋体" w:eastAsiaTheme="minorEastAsia"/>
          <w:sz w:val="24"/>
          <w:highlight w:val="none"/>
          <w:lang w:val="en-US" w:eastAsia="zh-CN"/>
        </w:rPr>
      </w:pPr>
      <w:r>
        <w:rPr>
          <w:rFonts w:hint="eastAsia" w:ascii="宋体" w:hAnsi="宋体"/>
          <w:sz w:val="24"/>
          <w:highlight w:val="none"/>
        </w:rPr>
        <w:t>注：</w:t>
      </w:r>
      <w:r>
        <w:rPr>
          <w:rFonts w:hint="eastAsia" w:ascii="宋体" w:hAnsi="宋体"/>
          <w:sz w:val="24"/>
          <w:highlight w:val="none"/>
          <w:lang w:val="en-US" w:eastAsia="zh-CN"/>
        </w:rPr>
        <w:t>本项目不接受负偏离。</w:t>
      </w:r>
    </w:p>
    <w:p w14:paraId="5AAC5EDA">
      <w:pPr>
        <w:widowControl/>
        <w:spacing w:before="100" w:beforeAutospacing="1" w:after="100" w:afterAutospacing="1" w:line="360" w:lineRule="auto"/>
        <w:jc w:val="center"/>
        <w:rPr>
          <w:rFonts w:ascii="Times New Roman" w:hAnsi="Times New Roman" w:eastAsia="黑体" w:cs="黑体"/>
          <w:b/>
          <w:i/>
          <w:color w:val="000000"/>
          <w:sz w:val="32"/>
          <w:szCs w:val="32"/>
          <w:highlight w:val="none"/>
          <w:u w:val="single"/>
        </w:rPr>
      </w:pPr>
      <w:r>
        <w:rPr>
          <w:rFonts w:hint="eastAsia" w:ascii="Times New Roman" w:hAnsi="Times New Roman" w:eastAsia="黑体" w:cs="黑体"/>
          <w:b/>
          <w:i/>
          <w:color w:val="000000"/>
          <w:sz w:val="32"/>
          <w:szCs w:val="32"/>
          <w:highlight w:val="none"/>
          <w:u w:val="single"/>
        </w:rPr>
        <w:t>八、商务条款响应及偏离表</w:t>
      </w:r>
    </w:p>
    <w:p w14:paraId="47FA1FCB">
      <w:pPr>
        <w:jc w:val="center"/>
        <w:rPr>
          <w:rFonts w:ascii="宋体" w:hAnsi="宋体"/>
          <w:sz w:val="24"/>
          <w:highlight w:val="none"/>
        </w:rPr>
      </w:pPr>
    </w:p>
    <w:p w14:paraId="03FAC27F">
      <w:pPr>
        <w:rPr>
          <w:rFonts w:ascii="宋体" w:hAnsi="宋体"/>
          <w:sz w:val="24"/>
          <w:highlight w:val="none"/>
        </w:rPr>
      </w:pPr>
      <w:r>
        <w:rPr>
          <w:rFonts w:hint="eastAsia" w:ascii="宋体" w:hAnsi="宋体"/>
          <w:sz w:val="24"/>
          <w:highlight w:val="none"/>
        </w:rPr>
        <w:t xml:space="preserve">投标人全称（加盖公章）：        </w:t>
      </w:r>
    </w:p>
    <w:tbl>
      <w:tblPr>
        <w:tblStyle w:val="16"/>
        <w:tblW w:w="9360"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771"/>
        <w:gridCol w:w="3090"/>
        <w:gridCol w:w="1442"/>
        <w:gridCol w:w="3057"/>
      </w:tblGrid>
      <w:tr w14:paraId="6BDDE2D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63" w:hRule="atLeast"/>
        </w:trPr>
        <w:tc>
          <w:tcPr>
            <w:tcW w:w="1771" w:type="dxa"/>
            <w:tcBorders>
              <w:top w:val="single" w:color="auto" w:sz="4" w:space="0"/>
              <w:left w:val="single" w:color="auto" w:sz="4" w:space="0"/>
              <w:bottom w:val="single" w:color="auto" w:sz="4" w:space="0"/>
              <w:right w:val="single" w:color="auto" w:sz="4" w:space="0"/>
            </w:tcBorders>
          </w:tcPr>
          <w:p w14:paraId="7ADFB8D9">
            <w:pPr>
              <w:snapToGrid w:val="0"/>
              <w:spacing w:before="156" w:beforeLines="50"/>
              <w:jc w:val="center"/>
              <w:rPr>
                <w:rFonts w:ascii="仿宋_GB2312" w:hAnsi="宋体" w:eastAsia="仿宋_GB2312"/>
                <w:sz w:val="24"/>
                <w:szCs w:val="20"/>
                <w:highlight w:val="none"/>
              </w:rPr>
            </w:pPr>
            <w:r>
              <w:rPr>
                <w:rFonts w:hint="eastAsia" w:ascii="仿宋_GB2312" w:hAnsi="宋体"/>
                <w:sz w:val="24"/>
                <w:highlight w:val="none"/>
              </w:rPr>
              <w:t>项目</w:t>
            </w:r>
          </w:p>
        </w:tc>
        <w:tc>
          <w:tcPr>
            <w:tcW w:w="3090" w:type="dxa"/>
            <w:tcBorders>
              <w:top w:val="single" w:color="auto" w:sz="4" w:space="0"/>
              <w:left w:val="single" w:color="auto" w:sz="4" w:space="0"/>
              <w:bottom w:val="single" w:color="auto" w:sz="4" w:space="0"/>
              <w:right w:val="single" w:color="auto" w:sz="4" w:space="0"/>
            </w:tcBorders>
          </w:tcPr>
          <w:p w14:paraId="4837B783">
            <w:pPr>
              <w:snapToGrid w:val="0"/>
              <w:spacing w:before="156" w:beforeLines="50"/>
              <w:jc w:val="center"/>
              <w:rPr>
                <w:rFonts w:ascii="仿宋_GB2312" w:hAnsi="宋体" w:eastAsia="仿宋_GB2312"/>
                <w:sz w:val="24"/>
                <w:szCs w:val="20"/>
                <w:highlight w:val="none"/>
              </w:rPr>
            </w:pPr>
            <w:r>
              <w:rPr>
                <w:rFonts w:hint="eastAsia" w:ascii="仿宋_GB2312" w:hAnsi="宋体"/>
                <w:sz w:val="24"/>
                <w:highlight w:val="none"/>
              </w:rPr>
              <w:t>招标文件要求</w:t>
            </w:r>
          </w:p>
        </w:tc>
        <w:tc>
          <w:tcPr>
            <w:tcW w:w="1442" w:type="dxa"/>
            <w:tcBorders>
              <w:top w:val="single" w:color="auto" w:sz="4" w:space="0"/>
              <w:left w:val="single" w:color="auto" w:sz="4" w:space="0"/>
              <w:bottom w:val="single" w:color="auto" w:sz="4" w:space="0"/>
              <w:right w:val="single" w:color="auto" w:sz="4" w:space="0"/>
            </w:tcBorders>
          </w:tcPr>
          <w:p w14:paraId="4333AC8A">
            <w:pPr>
              <w:snapToGrid w:val="0"/>
              <w:spacing w:before="156" w:beforeLines="50"/>
              <w:jc w:val="center"/>
              <w:rPr>
                <w:rFonts w:ascii="仿宋_GB2312" w:hAnsi="宋体" w:eastAsia="仿宋_GB2312"/>
                <w:sz w:val="24"/>
                <w:szCs w:val="20"/>
                <w:highlight w:val="none"/>
              </w:rPr>
            </w:pPr>
            <w:r>
              <w:rPr>
                <w:rFonts w:hint="eastAsia" w:ascii="仿宋_GB2312" w:hAnsi="宋体"/>
                <w:sz w:val="24"/>
                <w:highlight w:val="none"/>
              </w:rPr>
              <w:t>是否响应</w:t>
            </w:r>
          </w:p>
        </w:tc>
        <w:tc>
          <w:tcPr>
            <w:tcW w:w="3057" w:type="dxa"/>
            <w:tcBorders>
              <w:top w:val="single" w:color="auto" w:sz="4" w:space="0"/>
              <w:left w:val="single" w:color="auto" w:sz="4" w:space="0"/>
              <w:bottom w:val="single" w:color="auto" w:sz="4" w:space="0"/>
              <w:right w:val="single" w:color="auto" w:sz="4" w:space="0"/>
            </w:tcBorders>
          </w:tcPr>
          <w:p w14:paraId="3F708D71">
            <w:pPr>
              <w:snapToGrid w:val="0"/>
              <w:spacing w:before="156" w:beforeLines="50"/>
              <w:jc w:val="center"/>
              <w:rPr>
                <w:rFonts w:ascii="仿宋_GB2312" w:hAnsi="宋体" w:eastAsia="仿宋_GB2312"/>
                <w:sz w:val="24"/>
                <w:szCs w:val="20"/>
                <w:highlight w:val="none"/>
              </w:rPr>
            </w:pPr>
            <w:r>
              <w:rPr>
                <w:rFonts w:hint="eastAsia" w:ascii="仿宋_GB2312" w:hAnsi="宋体"/>
                <w:sz w:val="24"/>
                <w:highlight w:val="none"/>
              </w:rPr>
              <w:t>投标人的承诺或说明</w:t>
            </w:r>
          </w:p>
        </w:tc>
      </w:tr>
      <w:tr w14:paraId="002EED6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7" w:hRule="atLeast"/>
        </w:trPr>
        <w:tc>
          <w:tcPr>
            <w:tcW w:w="1771" w:type="dxa"/>
            <w:tcBorders>
              <w:top w:val="single" w:color="auto" w:sz="4" w:space="0"/>
              <w:left w:val="single" w:color="auto" w:sz="4" w:space="0"/>
              <w:bottom w:val="single" w:color="auto" w:sz="4" w:space="0"/>
              <w:right w:val="single" w:color="auto" w:sz="4" w:space="0"/>
            </w:tcBorders>
          </w:tcPr>
          <w:p w14:paraId="4B439429">
            <w:pPr>
              <w:snapToGrid w:val="0"/>
              <w:spacing w:before="156" w:beforeLines="50"/>
              <w:rPr>
                <w:rFonts w:ascii="仿宋_GB2312" w:hAnsi="宋体" w:eastAsia="仿宋_GB2312"/>
                <w:sz w:val="24"/>
                <w:szCs w:val="20"/>
                <w:highlight w:val="none"/>
              </w:rPr>
            </w:pPr>
          </w:p>
        </w:tc>
        <w:tc>
          <w:tcPr>
            <w:tcW w:w="3090" w:type="dxa"/>
            <w:tcBorders>
              <w:top w:val="single" w:color="auto" w:sz="4" w:space="0"/>
              <w:left w:val="single" w:color="auto" w:sz="4" w:space="0"/>
              <w:bottom w:val="single" w:color="auto" w:sz="4" w:space="0"/>
              <w:right w:val="single" w:color="auto" w:sz="4" w:space="0"/>
            </w:tcBorders>
          </w:tcPr>
          <w:p w14:paraId="69762CB6">
            <w:pPr>
              <w:snapToGrid w:val="0"/>
              <w:spacing w:before="156" w:beforeLines="50"/>
              <w:rPr>
                <w:rFonts w:ascii="仿宋_GB2312" w:hAnsi="宋体" w:eastAsia="仿宋_GB2312"/>
                <w:sz w:val="24"/>
                <w:szCs w:val="20"/>
                <w:highlight w:val="none"/>
              </w:rPr>
            </w:pPr>
          </w:p>
        </w:tc>
        <w:tc>
          <w:tcPr>
            <w:tcW w:w="1442" w:type="dxa"/>
            <w:tcBorders>
              <w:top w:val="single" w:color="auto" w:sz="4" w:space="0"/>
              <w:left w:val="single" w:color="auto" w:sz="4" w:space="0"/>
              <w:bottom w:val="single" w:color="auto" w:sz="4" w:space="0"/>
              <w:right w:val="single" w:color="auto" w:sz="4" w:space="0"/>
            </w:tcBorders>
          </w:tcPr>
          <w:p w14:paraId="4ACC9E0D">
            <w:pPr>
              <w:snapToGrid w:val="0"/>
              <w:spacing w:before="156" w:beforeLines="50"/>
              <w:rPr>
                <w:rFonts w:ascii="仿宋_GB2312" w:hAnsi="宋体" w:eastAsia="仿宋_GB2312"/>
                <w:sz w:val="24"/>
                <w:szCs w:val="20"/>
                <w:highlight w:val="none"/>
              </w:rPr>
            </w:pPr>
          </w:p>
        </w:tc>
        <w:tc>
          <w:tcPr>
            <w:tcW w:w="3057" w:type="dxa"/>
            <w:tcBorders>
              <w:top w:val="single" w:color="auto" w:sz="4" w:space="0"/>
              <w:left w:val="single" w:color="auto" w:sz="4" w:space="0"/>
              <w:bottom w:val="single" w:color="auto" w:sz="4" w:space="0"/>
              <w:right w:val="single" w:color="auto" w:sz="4" w:space="0"/>
            </w:tcBorders>
          </w:tcPr>
          <w:p w14:paraId="306CEA27">
            <w:pPr>
              <w:snapToGrid w:val="0"/>
              <w:spacing w:before="156" w:beforeLines="50"/>
              <w:rPr>
                <w:rFonts w:ascii="仿宋_GB2312" w:hAnsi="宋体" w:eastAsia="仿宋_GB2312"/>
                <w:sz w:val="24"/>
                <w:szCs w:val="20"/>
                <w:highlight w:val="none"/>
              </w:rPr>
            </w:pPr>
          </w:p>
        </w:tc>
      </w:tr>
      <w:tr w14:paraId="7E9B58C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02" w:hRule="atLeast"/>
        </w:trPr>
        <w:tc>
          <w:tcPr>
            <w:tcW w:w="1771" w:type="dxa"/>
            <w:tcBorders>
              <w:top w:val="single" w:color="auto" w:sz="4" w:space="0"/>
              <w:left w:val="single" w:color="auto" w:sz="4" w:space="0"/>
              <w:bottom w:val="single" w:color="auto" w:sz="4" w:space="0"/>
              <w:right w:val="single" w:color="auto" w:sz="4" w:space="0"/>
            </w:tcBorders>
          </w:tcPr>
          <w:p w14:paraId="10FBD5AF">
            <w:pPr>
              <w:snapToGrid w:val="0"/>
              <w:spacing w:before="156" w:beforeLines="50"/>
              <w:rPr>
                <w:rFonts w:ascii="仿宋_GB2312" w:hAnsi="宋体" w:eastAsia="仿宋_GB2312"/>
                <w:sz w:val="24"/>
                <w:szCs w:val="20"/>
                <w:highlight w:val="none"/>
              </w:rPr>
            </w:pPr>
          </w:p>
        </w:tc>
        <w:tc>
          <w:tcPr>
            <w:tcW w:w="3090" w:type="dxa"/>
            <w:tcBorders>
              <w:top w:val="single" w:color="auto" w:sz="4" w:space="0"/>
              <w:left w:val="single" w:color="auto" w:sz="4" w:space="0"/>
              <w:bottom w:val="single" w:color="auto" w:sz="4" w:space="0"/>
              <w:right w:val="single" w:color="auto" w:sz="4" w:space="0"/>
            </w:tcBorders>
          </w:tcPr>
          <w:p w14:paraId="6B70E302">
            <w:pPr>
              <w:snapToGrid w:val="0"/>
              <w:spacing w:before="156" w:beforeLines="50"/>
              <w:rPr>
                <w:rFonts w:ascii="仿宋_GB2312" w:hAnsi="宋体" w:eastAsia="仿宋_GB2312"/>
                <w:sz w:val="24"/>
                <w:szCs w:val="20"/>
                <w:highlight w:val="none"/>
              </w:rPr>
            </w:pPr>
          </w:p>
        </w:tc>
        <w:tc>
          <w:tcPr>
            <w:tcW w:w="1442" w:type="dxa"/>
            <w:tcBorders>
              <w:top w:val="single" w:color="auto" w:sz="4" w:space="0"/>
              <w:left w:val="single" w:color="auto" w:sz="4" w:space="0"/>
              <w:bottom w:val="single" w:color="auto" w:sz="4" w:space="0"/>
              <w:right w:val="single" w:color="auto" w:sz="4" w:space="0"/>
            </w:tcBorders>
          </w:tcPr>
          <w:p w14:paraId="795F1001">
            <w:pPr>
              <w:snapToGrid w:val="0"/>
              <w:spacing w:before="156" w:beforeLines="50"/>
              <w:rPr>
                <w:rFonts w:ascii="仿宋_GB2312" w:hAnsi="宋体" w:eastAsia="仿宋_GB2312"/>
                <w:sz w:val="24"/>
                <w:szCs w:val="20"/>
                <w:highlight w:val="none"/>
              </w:rPr>
            </w:pPr>
          </w:p>
        </w:tc>
        <w:tc>
          <w:tcPr>
            <w:tcW w:w="3057" w:type="dxa"/>
            <w:tcBorders>
              <w:top w:val="single" w:color="auto" w:sz="4" w:space="0"/>
              <w:left w:val="single" w:color="auto" w:sz="4" w:space="0"/>
              <w:bottom w:val="single" w:color="auto" w:sz="4" w:space="0"/>
              <w:right w:val="single" w:color="auto" w:sz="4" w:space="0"/>
            </w:tcBorders>
          </w:tcPr>
          <w:p w14:paraId="6D70F38B">
            <w:pPr>
              <w:snapToGrid w:val="0"/>
              <w:spacing w:before="156" w:beforeLines="50"/>
              <w:rPr>
                <w:rFonts w:ascii="仿宋_GB2312" w:hAnsi="宋体" w:eastAsia="仿宋_GB2312"/>
                <w:sz w:val="24"/>
                <w:szCs w:val="20"/>
                <w:highlight w:val="none"/>
              </w:rPr>
            </w:pPr>
          </w:p>
        </w:tc>
      </w:tr>
      <w:tr w14:paraId="2E8399E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9" w:hRule="atLeast"/>
        </w:trPr>
        <w:tc>
          <w:tcPr>
            <w:tcW w:w="1771" w:type="dxa"/>
            <w:tcBorders>
              <w:top w:val="single" w:color="auto" w:sz="4" w:space="0"/>
              <w:left w:val="single" w:color="auto" w:sz="4" w:space="0"/>
              <w:bottom w:val="single" w:color="auto" w:sz="4" w:space="0"/>
              <w:right w:val="single" w:color="auto" w:sz="4" w:space="0"/>
            </w:tcBorders>
          </w:tcPr>
          <w:p w14:paraId="6EA60D63">
            <w:pPr>
              <w:snapToGrid w:val="0"/>
              <w:spacing w:before="156" w:beforeLines="50"/>
              <w:rPr>
                <w:rFonts w:ascii="仿宋_GB2312" w:hAnsi="宋体" w:eastAsia="仿宋_GB2312"/>
                <w:sz w:val="24"/>
                <w:szCs w:val="20"/>
                <w:highlight w:val="none"/>
              </w:rPr>
            </w:pPr>
          </w:p>
        </w:tc>
        <w:tc>
          <w:tcPr>
            <w:tcW w:w="3090" w:type="dxa"/>
            <w:tcBorders>
              <w:top w:val="single" w:color="auto" w:sz="4" w:space="0"/>
              <w:left w:val="single" w:color="auto" w:sz="4" w:space="0"/>
              <w:bottom w:val="single" w:color="auto" w:sz="4" w:space="0"/>
              <w:right w:val="single" w:color="auto" w:sz="4" w:space="0"/>
            </w:tcBorders>
          </w:tcPr>
          <w:p w14:paraId="5DDD4E46">
            <w:pPr>
              <w:snapToGrid w:val="0"/>
              <w:spacing w:before="156" w:beforeLines="50"/>
              <w:rPr>
                <w:rFonts w:ascii="仿宋_GB2312" w:hAnsi="宋体" w:eastAsia="仿宋_GB2312"/>
                <w:sz w:val="24"/>
                <w:szCs w:val="20"/>
                <w:highlight w:val="none"/>
              </w:rPr>
            </w:pPr>
            <w:r>
              <w:rPr>
                <w:rFonts w:hint="eastAsia" w:ascii="仿宋_GB2312" w:hAnsi="宋体"/>
                <w:sz w:val="24"/>
                <w:highlight w:val="none"/>
              </w:rPr>
              <w:t xml:space="preserve"> </w:t>
            </w:r>
          </w:p>
        </w:tc>
        <w:tc>
          <w:tcPr>
            <w:tcW w:w="1442" w:type="dxa"/>
            <w:tcBorders>
              <w:top w:val="single" w:color="auto" w:sz="4" w:space="0"/>
              <w:left w:val="single" w:color="auto" w:sz="4" w:space="0"/>
              <w:bottom w:val="single" w:color="auto" w:sz="4" w:space="0"/>
              <w:right w:val="single" w:color="auto" w:sz="4" w:space="0"/>
            </w:tcBorders>
          </w:tcPr>
          <w:p w14:paraId="2010F4ED">
            <w:pPr>
              <w:snapToGrid w:val="0"/>
              <w:spacing w:before="156" w:beforeLines="50"/>
              <w:ind w:left="43"/>
              <w:rPr>
                <w:rFonts w:ascii="仿宋_GB2312" w:hAnsi="宋体" w:eastAsia="仿宋_GB2312"/>
                <w:sz w:val="24"/>
                <w:szCs w:val="20"/>
                <w:highlight w:val="none"/>
              </w:rPr>
            </w:pPr>
          </w:p>
        </w:tc>
        <w:tc>
          <w:tcPr>
            <w:tcW w:w="3057" w:type="dxa"/>
            <w:tcBorders>
              <w:top w:val="single" w:color="auto" w:sz="4" w:space="0"/>
              <w:left w:val="single" w:color="auto" w:sz="4" w:space="0"/>
              <w:bottom w:val="single" w:color="auto" w:sz="4" w:space="0"/>
              <w:right w:val="single" w:color="auto" w:sz="4" w:space="0"/>
            </w:tcBorders>
          </w:tcPr>
          <w:p w14:paraId="71FD87F9">
            <w:pPr>
              <w:snapToGrid w:val="0"/>
              <w:spacing w:before="156" w:beforeLines="50"/>
              <w:ind w:left="43"/>
              <w:rPr>
                <w:rFonts w:ascii="仿宋_GB2312" w:hAnsi="宋体" w:eastAsia="仿宋_GB2312"/>
                <w:sz w:val="24"/>
                <w:szCs w:val="20"/>
                <w:highlight w:val="none"/>
              </w:rPr>
            </w:pPr>
          </w:p>
        </w:tc>
      </w:tr>
      <w:tr w14:paraId="6028D0A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1771" w:type="dxa"/>
            <w:tcBorders>
              <w:top w:val="single" w:color="auto" w:sz="4" w:space="0"/>
              <w:left w:val="single" w:color="auto" w:sz="4" w:space="0"/>
              <w:bottom w:val="single" w:color="auto" w:sz="4" w:space="0"/>
              <w:right w:val="single" w:color="auto" w:sz="4" w:space="0"/>
            </w:tcBorders>
          </w:tcPr>
          <w:p w14:paraId="68F2C76D">
            <w:pPr>
              <w:snapToGrid w:val="0"/>
              <w:spacing w:before="156" w:beforeLines="50"/>
              <w:rPr>
                <w:rFonts w:ascii="仿宋_GB2312"/>
                <w:sz w:val="24"/>
                <w:highlight w:val="none"/>
              </w:rPr>
            </w:pPr>
          </w:p>
        </w:tc>
        <w:tc>
          <w:tcPr>
            <w:tcW w:w="3090" w:type="dxa"/>
            <w:tcBorders>
              <w:top w:val="single" w:color="auto" w:sz="4" w:space="0"/>
              <w:left w:val="single" w:color="auto" w:sz="4" w:space="0"/>
              <w:bottom w:val="single" w:color="auto" w:sz="4" w:space="0"/>
              <w:right w:val="single" w:color="auto" w:sz="4" w:space="0"/>
            </w:tcBorders>
          </w:tcPr>
          <w:p w14:paraId="7089EAC0">
            <w:pPr>
              <w:snapToGrid w:val="0"/>
              <w:spacing w:before="156" w:beforeLines="50"/>
              <w:rPr>
                <w:rFonts w:ascii="仿宋_GB2312" w:hAnsi="宋体"/>
                <w:sz w:val="24"/>
                <w:highlight w:val="none"/>
              </w:rPr>
            </w:pPr>
          </w:p>
          <w:p w14:paraId="7AC7186C">
            <w:pPr>
              <w:snapToGrid w:val="0"/>
              <w:spacing w:before="156" w:beforeLines="50"/>
              <w:rPr>
                <w:rFonts w:ascii="仿宋_GB2312" w:hAnsi="宋体"/>
                <w:sz w:val="24"/>
                <w:highlight w:val="none"/>
              </w:rPr>
            </w:pPr>
          </w:p>
        </w:tc>
        <w:tc>
          <w:tcPr>
            <w:tcW w:w="1442" w:type="dxa"/>
            <w:tcBorders>
              <w:top w:val="single" w:color="auto" w:sz="4" w:space="0"/>
              <w:left w:val="single" w:color="auto" w:sz="4" w:space="0"/>
              <w:bottom w:val="single" w:color="auto" w:sz="4" w:space="0"/>
              <w:right w:val="single" w:color="auto" w:sz="4" w:space="0"/>
            </w:tcBorders>
          </w:tcPr>
          <w:p w14:paraId="6A9789A6">
            <w:pPr>
              <w:snapToGrid w:val="0"/>
              <w:spacing w:before="156" w:beforeLines="50"/>
              <w:ind w:left="43"/>
              <w:rPr>
                <w:rFonts w:ascii="仿宋_GB2312" w:hAnsi="宋体" w:eastAsia="仿宋_GB2312"/>
                <w:sz w:val="24"/>
                <w:szCs w:val="20"/>
                <w:highlight w:val="none"/>
              </w:rPr>
            </w:pPr>
          </w:p>
        </w:tc>
        <w:tc>
          <w:tcPr>
            <w:tcW w:w="3057" w:type="dxa"/>
            <w:tcBorders>
              <w:top w:val="single" w:color="auto" w:sz="4" w:space="0"/>
              <w:left w:val="single" w:color="auto" w:sz="4" w:space="0"/>
              <w:bottom w:val="single" w:color="auto" w:sz="4" w:space="0"/>
              <w:right w:val="single" w:color="auto" w:sz="4" w:space="0"/>
            </w:tcBorders>
          </w:tcPr>
          <w:p w14:paraId="61A03873">
            <w:pPr>
              <w:snapToGrid w:val="0"/>
              <w:spacing w:before="156" w:beforeLines="50"/>
              <w:ind w:left="43"/>
              <w:rPr>
                <w:rFonts w:ascii="仿宋_GB2312" w:hAnsi="宋体" w:eastAsia="仿宋_GB2312"/>
                <w:sz w:val="24"/>
                <w:szCs w:val="20"/>
                <w:highlight w:val="none"/>
              </w:rPr>
            </w:pPr>
          </w:p>
        </w:tc>
      </w:tr>
      <w:tr w14:paraId="5574477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1771" w:type="dxa"/>
            <w:tcBorders>
              <w:top w:val="single" w:color="auto" w:sz="4" w:space="0"/>
              <w:left w:val="single" w:color="auto" w:sz="4" w:space="0"/>
              <w:bottom w:val="single" w:color="auto" w:sz="4" w:space="0"/>
              <w:right w:val="single" w:color="auto" w:sz="4" w:space="0"/>
            </w:tcBorders>
          </w:tcPr>
          <w:p w14:paraId="378BE886">
            <w:pPr>
              <w:snapToGrid w:val="0"/>
              <w:spacing w:before="156" w:beforeLines="50"/>
              <w:rPr>
                <w:rFonts w:ascii="仿宋_GB2312"/>
                <w:sz w:val="24"/>
                <w:highlight w:val="none"/>
              </w:rPr>
            </w:pPr>
          </w:p>
        </w:tc>
        <w:tc>
          <w:tcPr>
            <w:tcW w:w="3090" w:type="dxa"/>
            <w:tcBorders>
              <w:top w:val="single" w:color="auto" w:sz="4" w:space="0"/>
              <w:left w:val="single" w:color="auto" w:sz="4" w:space="0"/>
              <w:bottom w:val="single" w:color="auto" w:sz="4" w:space="0"/>
              <w:right w:val="single" w:color="auto" w:sz="4" w:space="0"/>
            </w:tcBorders>
          </w:tcPr>
          <w:p w14:paraId="61E31B23">
            <w:pPr>
              <w:snapToGrid w:val="0"/>
              <w:spacing w:before="156" w:beforeLines="50"/>
              <w:rPr>
                <w:rFonts w:ascii="仿宋_GB2312" w:hAnsi="宋体"/>
                <w:sz w:val="24"/>
                <w:highlight w:val="none"/>
              </w:rPr>
            </w:pPr>
          </w:p>
          <w:p w14:paraId="6132923E">
            <w:pPr>
              <w:snapToGrid w:val="0"/>
              <w:spacing w:before="156" w:beforeLines="50"/>
              <w:rPr>
                <w:rFonts w:ascii="仿宋_GB2312" w:hAnsi="宋体"/>
                <w:sz w:val="24"/>
                <w:highlight w:val="none"/>
              </w:rPr>
            </w:pPr>
          </w:p>
        </w:tc>
        <w:tc>
          <w:tcPr>
            <w:tcW w:w="1442" w:type="dxa"/>
            <w:tcBorders>
              <w:top w:val="single" w:color="auto" w:sz="4" w:space="0"/>
              <w:left w:val="single" w:color="auto" w:sz="4" w:space="0"/>
              <w:bottom w:val="single" w:color="auto" w:sz="4" w:space="0"/>
              <w:right w:val="single" w:color="auto" w:sz="4" w:space="0"/>
            </w:tcBorders>
          </w:tcPr>
          <w:p w14:paraId="74919968">
            <w:pPr>
              <w:snapToGrid w:val="0"/>
              <w:spacing w:before="156" w:beforeLines="50"/>
              <w:ind w:left="43"/>
              <w:rPr>
                <w:rFonts w:ascii="仿宋_GB2312" w:hAnsi="宋体" w:eastAsia="仿宋_GB2312"/>
                <w:sz w:val="24"/>
                <w:szCs w:val="20"/>
                <w:highlight w:val="none"/>
              </w:rPr>
            </w:pPr>
          </w:p>
        </w:tc>
        <w:tc>
          <w:tcPr>
            <w:tcW w:w="3057" w:type="dxa"/>
            <w:tcBorders>
              <w:top w:val="single" w:color="auto" w:sz="4" w:space="0"/>
              <w:left w:val="single" w:color="auto" w:sz="4" w:space="0"/>
              <w:bottom w:val="single" w:color="auto" w:sz="4" w:space="0"/>
              <w:right w:val="single" w:color="auto" w:sz="4" w:space="0"/>
            </w:tcBorders>
          </w:tcPr>
          <w:p w14:paraId="2DB15A4E">
            <w:pPr>
              <w:snapToGrid w:val="0"/>
              <w:spacing w:before="156" w:beforeLines="50"/>
              <w:ind w:left="43"/>
              <w:rPr>
                <w:rFonts w:ascii="仿宋_GB2312" w:hAnsi="宋体" w:eastAsia="仿宋_GB2312"/>
                <w:sz w:val="24"/>
                <w:szCs w:val="20"/>
                <w:highlight w:val="none"/>
              </w:rPr>
            </w:pPr>
          </w:p>
        </w:tc>
      </w:tr>
      <w:tr w14:paraId="637A203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44" w:hRule="atLeast"/>
        </w:trPr>
        <w:tc>
          <w:tcPr>
            <w:tcW w:w="1771" w:type="dxa"/>
            <w:tcBorders>
              <w:top w:val="single" w:color="auto" w:sz="4" w:space="0"/>
              <w:left w:val="single" w:color="auto" w:sz="4" w:space="0"/>
              <w:bottom w:val="single" w:color="auto" w:sz="4" w:space="0"/>
              <w:right w:val="single" w:color="auto" w:sz="4" w:space="0"/>
            </w:tcBorders>
          </w:tcPr>
          <w:p w14:paraId="201980CE">
            <w:pPr>
              <w:snapToGrid w:val="0"/>
              <w:spacing w:before="156" w:beforeLines="50"/>
              <w:rPr>
                <w:rFonts w:ascii="仿宋_GB2312" w:hAnsi="宋体" w:eastAsia="仿宋_GB2312"/>
                <w:sz w:val="24"/>
                <w:szCs w:val="20"/>
                <w:highlight w:val="none"/>
              </w:rPr>
            </w:pPr>
          </w:p>
        </w:tc>
        <w:tc>
          <w:tcPr>
            <w:tcW w:w="3090" w:type="dxa"/>
            <w:tcBorders>
              <w:top w:val="single" w:color="auto" w:sz="4" w:space="0"/>
              <w:left w:val="single" w:color="auto" w:sz="4" w:space="0"/>
              <w:bottom w:val="single" w:color="auto" w:sz="4" w:space="0"/>
              <w:right w:val="single" w:color="auto" w:sz="4" w:space="0"/>
            </w:tcBorders>
          </w:tcPr>
          <w:p w14:paraId="6CD0B0E5">
            <w:pPr>
              <w:snapToGrid w:val="0"/>
              <w:spacing w:before="156" w:beforeLines="50"/>
              <w:rPr>
                <w:rFonts w:ascii="仿宋_GB2312" w:hAnsi="宋体" w:eastAsia="仿宋_GB2312"/>
                <w:sz w:val="24"/>
                <w:szCs w:val="20"/>
                <w:highlight w:val="none"/>
              </w:rPr>
            </w:pPr>
          </w:p>
        </w:tc>
        <w:tc>
          <w:tcPr>
            <w:tcW w:w="1442" w:type="dxa"/>
            <w:tcBorders>
              <w:top w:val="single" w:color="auto" w:sz="4" w:space="0"/>
              <w:left w:val="single" w:color="auto" w:sz="4" w:space="0"/>
              <w:bottom w:val="single" w:color="auto" w:sz="4" w:space="0"/>
              <w:right w:val="single" w:color="auto" w:sz="4" w:space="0"/>
            </w:tcBorders>
          </w:tcPr>
          <w:p w14:paraId="05E814DB">
            <w:pPr>
              <w:snapToGrid w:val="0"/>
              <w:spacing w:before="156" w:beforeLines="50"/>
              <w:rPr>
                <w:rFonts w:ascii="仿宋_GB2312" w:hAnsi="宋体" w:eastAsia="仿宋_GB2312"/>
                <w:sz w:val="24"/>
                <w:szCs w:val="20"/>
                <w:highlight w:val="none"/>
              </w:rPr>
            </w:pPr>
          </w:p>
        </w:tc>
        <w:tc>
          <w:tcPr>
            <w:tcW w:w="3057" w:type="dxa"/>
            <w:tcBorders>
              <w:top w:val="single" w:color="auto" w:sz="4" w:space="0"/>
              <w:left w:val="single" w:color="auto" w:sz="4" w:space="0"/>
              <w:bottom w:val="single" w:color="auto" w:sz="4" w:space="0"/>
              <w:right w:val="single" w:color="auto" w:sz="4" w:space="0"/>
            </w:tcBorders>
          </w:tcPr>
          <w:p w14:paraId="584FC87F">
            <w:pPr>
              <w:snapToGrid w:val="0"/>
              <w:spacing w:before="156" w:beforeLines="50"/>
              <w:rPr>
                <w:rFonts w:ascii="仿宋_GB2312" w:hAnsi="宋体" w:eastAsia="仿宋_GB2312"/>
                <w:sz w:val="24"/>
                <w:szCs w:val="20"/>
                <w:highlight w:val="none"/>
              </w:rPr>
            </w:pPr>
          </w:p>
        </w:tc>
      </w:tr>
    </w:tbl>
    <w:p w14:paraId="33EDEFCC">
      <w:pPr>
        <w:rPr>
          <w:rFonts w:ascii="宋体" w:hAnsi="宋体"/>
          <w:sz w:val="24"/>
          <w:highlight w:val="none"/>
        </w:rPr>
      </w:pPr>
    </w:p>
    <w:p w14:paraId="1F265737">
      <w:pPr>
        <w:rPr>
          <w:rFonts w:ascii="宋体" w:hAnsi="宋体"/>
          <w:sz w:val="24"/>
          <w:highlight w:val="none"/>
          <w:u w:val="single"/>
        </w:rPr>
      </w:pPr>
      <w:r>
        <w:rPr>
          <w:rFonts w:hint="eastAsia" w:ascii="宋体" w:hAnsi="宋体"/>
          <w:sz w:val="24"/>
          <w:highlight w:val="none"/>
        </w:rPr>
        <w:t>法定代表人或授权代表签字：</w:t>
      </w:r>
      <w:r>
        <w:rPr>
          <w:rFonts w:hint="eastAsia" w:ascii="宋体" w:hAnsi="宋体"/>
          <w:sz w:val="24"/>
          <w:highlight w:val="none"/>
          <w:u w:val="single"/>
        </w:rPr>
        <w:t xml:space="preserve">          </w:t>
      </w:r>
    </w:p>
    <w:p w14:paraId="4B0938D1">
      <w:pPr>
        <w:pStyle w:val="14"/>
        <w:ind w:firstLine="210"/>
        <w:rPr>
          <w:highlight w:val="none"/>
        </w:rPr>
      </w:pPr>
    </w:p>
    <w:p w14:paraId="76EBBFE8">
      <w:pPr>
        <w:rPr>
          <w:highlight w:val="none"/>
        </w:rPr>
      </w:pPr>
      <w:r>
        <w:rPr>
          <w:rFonts w:hint="eastAsia" w:ascii="宋体" w:hAnsi="宋体"/>
          <w:sz w:val="24"/>
          <w:highlight w:val="none"/>
        </w:rPr>
        <w:t>注：</w:t>
      </w:r>
    </w:p>
    <w:p w14:paraId="06820D6B">
      <w:pPr>
        <w:rPr>
          <w:rFonts w:ascii="宋体" w:hAnsi="宋体"/>
          <w:sz w:val="24"/>
          <w:highlight w:val="none"/>
        </w:rPr>
      </w:pPr>
      <w:r>
        <w:rPr>
          <w:rFonts w:hint="eastAsia" w:ascii="宋体" w:hAnsi="宋体"/>
          <w:sz w:val="24"/>
          <w:highlight w:val="none"/>
        </w:rPr>
        <w:t>1、行数不够，可自行添加。</w:t>
      </w:r>
    </w:p>
    <w:p w14:paraId="71CE891B">
      <w:pPr>
        <w:rPr>
          <w:rFonts w:hint="eastAsia" w:ascii="宋体" w:eastAsiaTheme="minorEastAsia"/>
          <w:sz w:val="24"/>
          <w:highlight w:val="none"/>
          <w:lang w:eastAsia="zh-CN"/>
        </w:rPr>
      </w:pPr>
      <w:r>
        <w:rPr>
          <w:rFonts w:hint="eastAsia" w:ascii="宋体" w:hAnsi="宋体"/>
          <w:sz w:val="24"/>
          <w:highlight w:val="none"/>
        </w:rPr>
        <w:t>2、</w:t>
      </w:r>
      <w:r>
        <w:rPr>
          <w:rFonts w:hint="eastAsia" w:ascii="宋体" w:hAnsi="宋体"/>
          <w:sz w:val="24"/>
          <w:highlight w:val="none"/>
          <w:lang w:val="en-US" w:eastAsia="zh-CN"/>
        </w:rPr>
        <w:t>如响应招标文件所有商务条款的，</w:t>
      </w:r>
      <w:r>
        <w:rPr>
          <w:rFonts w:hint="eastAsia" w:ascii="宋体" w:hAnsi="宋体"/>
          <w:sz w:val="24"/>
          <w:highlight w:val="none"/>
        </w:rPr>
        <w:t>此表</w:t>
      </w:r>
      <w:r>
        <w:rPr>
          <w:rFonts w:hint="eastAsia" w:ascii="宋体" w:hAnsi="宋体"/>
          <w:sz w:val="24"/>
          <w:highlight w:val="none"/>
          <w:lang w:val="en-US" w:eastAsia="zh-CN"/>
        </w:rPr>
        <w:t>可不</w:t>
      </w:r>
      <w:r>
        <w:rPr>
          <w:rFonts w:hint="eastAsia" w:ascii="宋体" w:hAnsi="宋体"/>
          <w:sz w:val="24"/>
          <w:highlight w:val="none"/>
        </w:rPr>
        <w:t>填写内容直接盖章</w:t>
      </w:r>
      <w:r>
        <w:rPr>
          <w:rFonts w:hint="eastAsia" w:ascii="宋体" w:hAnsi="宋体"/>
          <w:sz w:val="24"/>
          <w:highlight w:val="none"/>
          <w:lang w:eastAsia="zh-CN"/>
        </w:rPr>
        <w:t>。</w:t>
      </w:r>
    </w:p>
    <w:p w14:paraId="6AA2DBFC">
      <w:pPr>
        <w:widowControl/>
        <w:jc w:val="left"/>
        <w:rPr>
          <w:rFonts w:ascii="Times New Roman" w:hAnsi="Times New Roman" w:eastAsia="黑体" w:cs="黑体"/>
          <w:bCs/>
          <w:i/>
          <w:color w:val="000000"/>
          <w:sz w:val="32"/>
          <w:szCs w:val="32"/>
          <w:highlight w:val="none"/>
          <w:u w:val="single"/>
        </w:rPr>
      </w:pPr>
    </w:p>
    <w:p w14:paraId="6CE8CF79">
      <w:pPr>
        <w:widowControl/>
        <w:jc w:val="left"/>
        <w:rPr>
          <w:rFonts w:ascii="Times New Roman" w:hAnsi="Times New Roman" w:eastAsia="黑体" w:cs="黑体"/>
          <w:bCs/>
          <w:i/>
          <w:color w:val="000000"/>
          <w:sz w:val="32"/>
          <w:szCs w:val="32"/>
          <w:highlight w:val="none"/>
          <w:u w:val="single"/>
        </w:rPr>
      </w:pPr>
    </w:p>
    <w:p w14:paraId="79F7F730">
      <w:pPr>
        <w:widowControl/>
        <w:jc w:val="left"/>
        <w:rPr>
          <w:rFonts w:ascii="Times New Roman" w:hAnsi="Times New Roman" w:eastAsia="黑体" w:cs="黑体"/>
          <w:bCs/>
          <w:i/>
          <w:color w:val="000000"/>
          <w:sz w:val="32"/>
          <w:szCs w:val="32"/>
          <w:highlight w:val="none"/>
          <w:u w:val="single"/>
        </w:rPr>
      </w:pPr>
    </w:p>
    <w:p w14:paraId="6FF2A217">
      <w:pPr>
        <w:widowControl/>
        <w:jc w:val="left"/>
        <w:rPr>
          <w:rFonts w:ascii="Times New Roman" w:hAnsi="Times New Roman" w:eastAsia="黑体" w:cs="黑体"/>
          <w:bCs/>
          <w:i/>
          <w:color w:val="000000"/>
          <w:sz w:val="32"/>
          <w:szCs w:val="32"/>
          <w:highlight w:val="none"/>
          <w:u w:val="single"/>
        </w:rPr>
      </w:pPr>
    </w:p>
    <w:p w14:paraId="678BEC9B">
      <w:pPr>
        <w:widowControl/>
        <w:jc w:val="left"/>
        <w:rPr>
          <w:rFonts w:ascii="Times New Roman" w:hAnsi="Times New Roman" w:eastAsia="黑体" w:cs="黑体"/>
          <w:bCs/>
          <w:i/>
          <w:color w:val="000000"/>
          <w:sz w:val="32"/>
          <w:szCs w:val="32"/>
          <w:highlight w:val="none"/>
          <w:u w:val="single"/>
        </w:rPr>
      </w:pPr>
    </w:p>
    <w:p w14:paraId="011EFA06">
      <w:pPr>
        <w:widowControl/>
        <w:jc w:val="left"/>
        <w:rPr>
          <w:rFonts w:ascii="Times New Roman" w:hAnsi="Times New Roman" w:eastAsia="黑体" w:cs="黑体"/>
          <w:bCs/>
          <w:i/>
          <w:color w:val="000000"/>
          <w:sz w:val="32"/>
          <w:szCs w:val="32"/>
          <w:highlight w:val="none"/>
          <w:u w:val="single"/>
        </w:rPr>
      </w:pPr>
    </w:p>
    <w:p w14:paraId="71B66C7A">
      <w:pPr>
        <w:widowControl/>
        <w:jc w:val="left"/>
        <w:rPr>
          <w:rFonts w:ascii="Times New Roman" w:hAnsi="Times New Roman" w:eastAsia="黑体" w:cs="黑体"/>
          <w:bCs/>
          <w:i/>
          <w:color w:val="000000"/>
          <w:sz w:val="32"/>
          <w:szCs w:val="32"/>
          <w:highlight w:val="none"/>
          <w:u w:val="single"/>
        </w:rPr>
      </w:pPr>
    </w:p>
    <w:p w14:paraId="40A6C38C">
      <w:pPr>
        <w:widowControl/>
        <w:spacing w:before="100" w:beforeAutospacing="1" w:after="100" w:afterAutospacing="1" w:line="360" w:lineRule="auto"/>
        <w:ind w:firstLine="1600"/>
        <w:rPr>
          <w:rFonts w:ascii="Times New Roman" w:hAnsi="Times New Roman" w:eastAsia="黑体" w:cs="黑体"/>
          <w:b/>
          <w:i/>
          <w:color w:val="000000"/>
          <w:sz w:val="32"/>
          <w:szCs w:val="32"/>
          <w:highlight w:val="none"/>
          <w:u w:val="single"/>
        </w:rPr>
      </w:pPr>
      <w:r>
        <w:rPr>
          <w:rFonts w:hint="eastAsia" w:ascii="Times New Roman" w:hAnsi="Times New Roman" w:eastAsia="黑体" w:cs="黑体"/>
          <w:b/>
          <w:i/>
          <w:color w:val="000000"/>
          <w:sz w:val="32"/>
          <w:szCs w:val="32"/>
          <w:highlight w:val="none"/>
          <w:u w:val="single"/>
        </w:rPr>
        <w:t>九、盐城市政府采购事前信用承诺书</w:t>
      </w:r>
    </w:p>
    <w:p w14:paraId="105EB6B0">
      <w:pPr>
        <w:widowControl/>
        <w:spacing w:line="360" w:lineRule="auto"/>
        <w:ind w:firstLine="480"/>
        <w:jc w:val="left"/>
        <w:rPr>
          <w:rFonts w:ascii="Times New Roman" w:hAnsi="Times New Roman"/>
          <w:color w:val="000000"/>
          <w:sz w:val="24"/>
          <w:highlight w:val="none"/>
        </w:rPr>
      </w:pPr>
      <w:r>
        <w:rPr>
          <w:rFonts w:hint="eastAsia" w:ascii="Times New Roman" w:hAnsi="Times New Roman"/>
          <w:color w:val="000000"/>
          <w:sz w:val="24"/>
          <w:highlight w:val="none"/>
        </w:rPr>
        <w:t>为营造我市公开、公平、公正、诚实守信的政府采购交易环境，树立诚信守法的投标人形象，本人代表本单位作出以下承诺：</w:t>
      </w:r>
    </w:p>
    <w:p w14:paraId="7401CB6F">
      <w:pPr>
        <w:widowControl/>
        <w:spacing w:line="360" w:lineRule="auto"/>
        <w:ind w:firstLine="480"/>
        <w:jc w:val="left"/>
        <w:rPr>
          <w:rFonts w:ascii="Times New Roman" w:hAnsi="Times New Roman"/>
          <w:color w:val="000000"/>
          <w:sz w:val="24"/>
          <w:highlight w:val="none"/>
        </w:rPr>
      </w:pPr>
      <w:r>
        <w:rPr>
          <w:rFonts w:hint="eastAsia" w:ascii="Times New Roman" w:hAnsi="Times New Roman"/>
          <w:color w:val="000000"/>
          <w:sz w:val="24"/>
          <w:highlight w:val="none"/>
        </w:rPr>
        <w:t>（一）本单位对所提交的企（事）业单位基本信息、企（事）业负责人、项目负责人、技术负责人、从业资质和资格、业绩、财务状况、信誉等所有资料，均合法、真实、准确、有效，无任何伪造、修改、虚假成份，并对所提供资料的真实性负责；</w:t>
      </w:r>
    </w:p>
    <w:p w14:paraId="0460D4E7">
      <w:pPr>
        <w:widowControl/>
        <w:spacing w:line="360" w:lineRule="auto"/>
        <w:ind w:firstLine="480"/>
        <w:jc w:val="left"/>
        <w:rPr>
          <w:rFonts w:ascii="Times New Roman" w:hAnsi="Times New Roman"/>
          <w:color w:val="000000"/>
          <w:sz w:val="24"/>
          <w:highlight w:val="none"/>
        </w:rPr>
      </w:pPr>
      <w:r>
        <w:rPr>
          <w:rFonts w:hint="eastAsia" w:ascii="Times New Roman" w:hAnsi="Times New Roman"/>
          <w:color w:val="000000"/>
          <w:sz w:val="24"/>
          <w:highlight w:val="none"/>
        </w:rPr>
        <w:t>（二）本单位无涉及政府采购活动的违法、违规不良记录，我公司及相关负责人无因存在重大隐患整改不力、发生有重大社会影响生产安全事故或其他严重违法违规行为而被列入失信联合惩戒的不良记录；</w:t>
      </w:r>
    </w:p>
    <w:p w14:paraId="7FCFAC47">
      <w:pPr>
        <w:widowControl/>
        <w:spacing w:line="360" w:lineRule="auto"/>
        <w:ind w:firstLine="480"/>
        <w:jc w:val="left"/>
        <w:rPr>
          <w:rFonts w:ascii="Times New Roman" w:hAnsi="Times New Roman"/>
          <w:color w:val="000000"/>
          <w:sz w:val="24"/>
          <w:highlight w:val="none"/>
        </w:rPr>
      </w:pPr>
      <w:r>
        <w:rPr>
          <w:rFonts w:hint="eastAsia" w:ascii="Times New Roman" w:hAnsi="Times New Roman"/>
          <w:color w:val="000000"/>
          <w:sz w:val="24"/>
          <w:highlight w:val="none"/>
        </w:rPr>
        <w:t xml:space="preserve">（三）严格依照国家和省、市关于政府采购的法律、法规、规章、规范性文件，参加政府采购投标活动；积极履行社会责任，促进廉政建设； </w:t>
      </w:r>
    </w:p>
    <w:p w14:paraId="74A3927D">
      <w:pPr>
        <w:widowControl/>
        <w:spacing w:line="360" w:lineRule="auto"/>
        <w:ind w:firstLine="480"/>
        <w:jc w:val="left"/>
        <w:rPr>
          <w:rFonts w:ascii="Times New Roman" w:hAnsi="Times New Roman"/>
          <w:color w:val="000000"/>
          <w:sz w:val="24"/>
          <w:highlight w:val="none"/>
        </w:rPr>
      </w:pPr>
      <w:r>
        <w:rPr>
          <w:rFonts w:hint="eastAsia" w:ascii="Times New Roman" w:hAnsi="Times New Roman"/>
          <w:color w:val="000000"/>
          <w:sz w:val="24"/>
          <w:highlight w:val="none"/>
        </w:rPr>
        <w:t>（四）严格遵守即时信息公示规定，及时维护和更新维护和更新盐城市政府采购网中与本单位相关的信息；</w:t>
      </w:r>
    </w:p>
    <w:p w14:paraId="2BA6BB6A">
      <w:pPr>
        <w:widowControl/>
        <w:spacing w:line="360" w:lineRule="auto"/>
        <w:ind w:firstLine="480"/>
        <w:jc w:val="left"/>
        <w:rPr>
          <w:rFonts w:ascii="Times New Roman" w:hAnsi="Times New Roman"/>
          <w:color w:val="000000"/>
          <w:sz w:val="24"/>
          <w:highlight w:val="none"/>
        </w:rPr>
      </w:pPr>
      <w:r>
        <w:rPr>
          <w:rFonts w:hint="eastAsia" w:ascii="Times New Roman" w:hAnsi="Times New Roman"/>
          <w:color w:val="000000"/>
          <w:sz w:val="24"/>
          <w:highlight w:val="none"/>
        </w:rPr>
        <w:t>（五）自我约束、自我管理，守合同、重信用，自觉维护政府采购交易的良好秩序，与参与本次政府采购活动的其他供应商不存在直接控股或管理关系，不参与围标串标、弄虚作假、骗取中标、干扰评标、违约毁约等行为；</w:t>
      </w:r>
    </w:p>
    <w:p w14:paraId="22936B04">
      <w:pPr>
        <w:widowControl/>
        <w:spacing w:line="360" w:lineRule="auto"/>
        <w:ind w:firstLine="480"/>
        <w:jc w:val="left"/>
        <w:rPr>
          <w:rFonts w:ascii="Times New Roman" w:hAnsi="Times New Roman"/>
          <w:color w:val="000000"/>
          <w:sz w:val="24"/>
          <w:highlight w:val="none"/>
        </w:rPr>
      </w:pPr>
      <w:r>
        <w:rPr>
          <w:rFonts w:hint="eastAsia" w:ascii="Times New Roman" w:hAnsi="Times New Roman"/>
          <w:color w:val="000000"/>
          <w:sz w:val="24"/>
          <w:highlight w:val="none"/>
        </w:rPr>
        <w:t>（六）自觉接受政府、行业组织、社会公众、新闻舆论的监督；</w:t>
      </w:r>
    </w:p>
    <w:p w14:paraId="71F14E1F">
      <w:pPr>
        <w:widowControl/>
        <w:spacing w:line="360" w:lineRule="auto"/>
        <w:ind w:firstLine="480"/>
        <w:jc w:val="left"/>
        <w:rPr>
          <w:rFonts w:ascii="Times New Roman" w:hAnsi="Times New Roman"/>
          <w:color w:val="000000"/>
          <w:sz w:val="24"/>
          <w:highlight w:val="none"/>
        </w:rPr>
      </w:pPr>
      <w:r>
        <w:rPr>
          <w:rFonts w:hint="eastAsia" w:ascii="Times New Roman" w:hAnsi="Times New Roman"/>
          <w:color w:val="000000"/>
          <w:sz w:val="24"/>
          <w:highlight w:val="none"/>
        </w:rPr>
        <w:t>（七）本单位自愿接受政府采购监督管理机构和有关行政监督部门的依法检查。如发生违法违规或不良失信行为，自愿接受政府采购监督管理机构和有关行政监督部门依法给予的行政处罚（处理），并依法承担相应责任；</w:t>
      </w:r>
    </w:p>
    <w:p w14:paraId="7F3FA2FF">
      <w:pPr>
        <w:widowControl/>
        <w:spacing w:line="360" w:lineRule="auto"/>
        <w:ind w:firstLine="480"/>
        <w:jc w:val="left"/>
        <w:rPr>
          <w:rFonts w:ascii="Times New Roman" w:hAnsi="Times New Roman"/>
          <w:color w:val="000000"/>
          <w:sz w:val="24"/>
          <w:highlight w:val="none"/>
        </w:rPr>
      </w:pPr>
      <w:r>
        <w:rPr>
          <w:rFonts w:hint="eastAsia" w:ascii="Times New Roman" w:hAnsi="Times New Roman"/>
          <w:color w:val="000000"/>
          <w:sz w:val="24"/>
          <w:highlight w:val="none"/>
        </w:rPr>
        <w:t>（八）本人已认真阅读了上述承诺，并向本单位员工作了宣传教育。</w:t>
      </w:r>
    </w:p>
    <w:p w14:paraId="30062A05">
      <w:pPr>
        <w:widowControl/>
        <w:spacing w:line="360" w:lineRule="auto"/>
        <w:ind w:firstLine="480"/>
        <w:jc w:val="left"/>
        <w:rPr>
          <w:rFonts w:ascii="Times New Roman" w:hAnsi="Times New Roman"/>
          <w:color w:val="000000"/>
          <w:sz w:val="24"/>
          <w:highlight w:val="none"/>
        </w:rPr>
      </w:pPr>
      <w:r>
        <w:rPr>
          <w:rFonts w:hint="eastAsia" w:ascii="Times New Roman" w:hAnsi="Times New Roman"/>
          <w:color w:val="000000"/>
          <w:sz w:val="24"/>
          <w:highlight w:val="none"/>
        </w:rPr>
        <w:t xml:space="preserve">                </w:t>
      </w:r>
    </w:p>
    <w:p w14:paraId="051629EC">
      <w:pPr>
        <w:widowControl/>
        <w:spacing w:line="360" w:lineRule="auto"/>
        <w:ind w:firstLine="6302"/>
        <w:jc w:val="left"/>
        <w:rPr>
          <w:rFonts w:ascii="Times New Roman" w:hAnsi="Times New Roman"/>
          <w:color w:val="000000"/>
          <w:sz w:val="24"/>
          <w:highlight w:val="none"/>
        </w:rPr>
      </w:pPr>
      <w:r>
        <w:rPr>
          <w:rFonts w:hint="eastAsia" w:ascii="Times New Roman" w:hAnsi="Times New Roman"/>
          <w:color w:val="000000"/>
          <w:sz w:val="24"/>
          <w:highlight w:val="none"/>
        </w:rPr>
        <w:t xml:space="preserve"> 法定代表人签名：</w:t>
      </w:r>
    </w:p>
    <w:p w14:paraId="2F9C8E0E">
      <w:pPr>
        <w:widowControl/>
        <w:spacing w:line="360" w:lineRule="auto"/>
        <w:ind w:firstLine="480"/>
        <w:jc w:val="left"/>
        <w:rPr>
          <w:rFonts w:ascii="Times New Roman" w:hAnsi="Times New Roman"/>
          <w:color w:val="000000"/>
          <w:sz w:val="24"/>
          <w:highlight w:val="none"/>
        </w:rPr>
      </w:pPr>
      <w:r>
        <w:rPr>
          <w:rFonts w:hint="eastAsia" w:ascii="Times New Roman" w:hAnsi="Times New Roman"/>
          <w:color w:val="000000"/>
          <w:sz w:val="24"/>
          <w:highlight w:val="none"/>
        </w:rPr>
        <w:t xml:space="preserve">                                                单位名称（盖章）：</w:t>
      </w:r>
    </w:p>
    <w:p w14:paraId="633C9C95">
      <w:pPr>
        <w:widowControl/>
        <w:spacing w:line="360" w:lineRule="auto"/>
        <w:ind w:firstLine="480"/>
        <w:jc w:val="left"/>
        <w:rPr>
          <w:rFonts w:hint="eastAsia" w:ascii="Times New Roman" w:hAnsi="Times New Roman"/>
          <w:color w:val="000000"/>
          <w:sz w:val="24"/>
          <w:highlight w:val="none"/>
        </w:rPr>
      </w:pPr>
      <w:r>
        <w:rPr>
          <w:rFonts w:hint="eastAsia" w:ascii="Times New Roman" w:hAnsi="Times New Roman"/>
          <w:color w:val="000000"/>
          <w:sz w:val="24"/>
          <w:highlight w:val="none"/>
        </w:rPr>
        <w:t xml:space="preserve">                                                    年   月   日</w:t>
      </w:r>
    </w:p>
    <w:p w14:paraId="774932C2">
      <w:pPr>
        <w:widowControl/>
        <w:numPr>
          <w:ilvl w:val="0"/>
          <w:numId w:val="6"/>
        </w:numPr>
        <w:spacing w:before="100" w:beforeAutospacing="1" w:after="100" w:afterAutospacing="1" w:line="360" w:lineRule="auto"/>
        <w:jc w:val="center"/>
        <w:rPr>
          <w:rFonts w:hint="eastAsia" w:ascii="Times New Roman" w:hAnsi="Times New Roman" w:eastAsia="黑体" w:cs="黑体"/>
          <w:b/>
          <w:i/>
          <w:color w:val="000000"/>
          <w:sz w:val="32"/>
          <w:szCs w:val="32"/>
          <w:highlight w:val="none"/>
          <w:u w:val="single"/>
        </w:rPr>
      </w:pPr>
      <w:r>
        <w:rPr>
          <w:rFonts w:hint="eastAsia" w:ascii="Times New Roman" w:hAnsi="Times New Roman" w:eastAsia="黑体" w:cs="黑体"/>
          <w:b/>
          <w:i/>
          <w:color w:val="000000"/>
          <w:sz w:val="32"/>
          <w:szCs w:val="32"/>
          <w:highlight w:val="none"/>
          <w:u w:val="single"/>
          <w:lang w:val="en-US" w:eastAsia="zh-CN"/>
        </w:rPr>
        <w:t>询价文件</w:t>
      </w:r>
      <w:r>
        <w:rPr>
          <w:rFonts w:hint="eastAsia" w:ascii="Times New Roman" w:hAnsi="Times New Roman" w:eastAsia="黑体" w:cs="黑体"/>
          <w:b/>
          <w:i/>
          <w:color w:val="000000"/>
          <w:sz w:val="32"/>
          <w:szCs w:val="32"/>
          <w:highlight w:val="none"/>
          <w:u w:val="single"/>
        </w:rPr>
        <w:t>中规定要求提供的材料或投标人认为需要</w:t>
      </w:r>
    </w:p>
    <w:p w14:paraId="6EEBD722">
      <w:pPr>
        <w:widowControl/>
        <w:numPr>
          <w:ilvl w:val="0"/>
          <w:numId w:val="0"/>
        </w:numPr>
        <w:spacing w:before="100" w:beforeAutospacing="1" w:after="100" w:afterAutospacing="1" w:line="360" w:lineRule="auto"/>
        <w:jc w:val="center"/>
        <w:rPr>
          <w:rFonts w:hint="eastAsia" w:ascii="Times New Roman" w:hAnsi="Times New Roman" w:eastAsia="黑体" w:cs="黑体"/>
          <w:b/>
          <w:i/>
          <w:color w:val="000000"/>
          <w:sz w:val="32"/>
          <w:szCs w:val="32"/>
          <w:highlight w:val="none"/>
          <w:u w:val="single"/>
        </w:rPr>
      </w:pPr>
      <w:r>
        <w:rPr>
          <w:rFonts w:hint="eastAsia" w:ascii="Times New Roman" w:hAnsi="Times New Roman" w:eastAsia="黑体" w:cs="黑体"/>
          <w:b/>
          <w:i/>
          <w:color w:val="000000"/>
          <w:sz w:val="32"/>
          <w:szCs w:val="32"/>
          <w:highlight w:val="none"/>
          <w:u w:val="single"/>
        </w:rPr>
        <w:t>提供的其他材料</w:t>
      </w:r>
    </w:p>
    <w:p w14:paraId="2890D2C9">
      <w:pPr>
        <w:pStyle w:val="21"/>
        <w:rPr>
          <w:highlight w:val="none"/>
        </w:rPr>
      </w:pPr>
    </w:p>
    <w:p w14:paraId="56ABF01F">
      <w:pPr>
        <w:pStyle w:val="21"/>
        <w:rPr>
          <w:highlight w:val="none"/>
        </w:rPr>
      </w:pPr>
    </w:p>
    <w:p w14:paraId="37188EE0">
      <w:pPr>
        <w:pStyle w:val="10"/>
        <w:snapToGrid/>
        <w:rPr>
          <w:rFonts w:hint="default" w:ascii="Times New Roman" w:hAnsi="Times New Roman" w:eastAsiaTheme="minorEastAsia"/>
          <w:highlight w:val="none"/>
          <w:lang w:val="en-US" w:eastAsia="zh-CN"/>
        </w:rPr>
      </w:pPr>
    </w:p>
    <w:p w14:paraId="6B4518BD">
      <w:pPr>
        <w:pStyle w:val="10"/>
        <w:snapToGrid/>
        <w:rPr>
          <w:rFonts w:ascii="Times New Roman" w:hAnsi="Times New Roman"/>
          <w:highlight w:val="none"/>
        </w:rPr>
      </w:pPr>
    </w:p>
    <w:p w14:paraId="716ADB9A">
      <w:pPr>
        <w:widowControl/>
        <w:numPr>
          <w:ilvl w:val="0"/>
          <w:numId w:val="0"/>
        </w:numPr>
        <w:spacing w:before="100" w:beforeAutospacing="1" w:after="100" w:afterAutospacing="1" w:line="360" w:lineRule="auto"/>
        <w:jc w:val="center"/>
        <w:rPr>
          <w:rFonts w:hint="eastAsia" w:ascii="Times New Roman" w:hAnsi="Times New Roman" w:eastAsia="黑体" w:cs="黑体"/>
          <w:b/>
          <w:i/>
          <w:color w:val="000000"/>
          <w:sz w:val="32"/>
          <w:szCs w:val="32"/>
          <w:highlight w:val="none"/>
          <w:u w:val="single"/>
        </w:rPr>
      </w:pPr>
    </w:p>
    <w:p w14:paraId="3240DD11">
      <w:pPr>
        <w:pStyle w:val="21"/>
      </w:pPr>
    </w:p>
    <w:p w14:paraId="438F645F">
      <w:pPr>
        <w:pStyle w:val="10"/>
        <w:snapToGrid/>
        <w:rPr>
          <w:rFonts w:ascii="Times New Roman" w:hAnsi="Times New Roman"/>
          <w:highlight w:val="none"/>
        </w:rPr>
      </w:pPr>
    </w:p>
    <w:sectPr>
      <w:pgSz w:w="11906" w:h="16838"/>
      <w:pgMar w:top="1701" w:right="1587" w:bottom="1701" w:left="1587" w:header="851" w:footer="992" w:gutter="0"/>
      <w:pgNumType w:start="1"/>
      <w:cols w:space="0" w:num="1"/>
      <w:rtlGutter w:val="0"/>
      <w:docGrid w:type="lines" w:linePitch="32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方正仿宋简体">
    <w:panose1 w:val="02000000000000000000"/>
    <w:charset w:val="86"/>
    <w:family w:val="script"/>
    <w:pitch w:val="default"/>
    <w:sig w:usb0="A00002BF" w:usb1="184F6CFA" w:usb2="00000012" w:usb3="00000000" w:csb0="00040001" w:csb1="00000000"/>
  </w:font>
  <w:font w:name="方正小标宋_GBK">
    <w:panose1 w:val="03000509000000000000"/>
    <w:charset w:val="86"/>
    <w:family w:val="auto"/>
    <w:pitch w:val="default"/>
    <w:sig w:usb0="00000001" w:usb1="080E0000" w:usb2="00000000" w:usb3="00000000" w:csb0="00040000" w:csb1="00000000"/>
  </w:font>
  <w:font w:name="Helvetica">
    <w:altName w:val="Arial"/>
    <w:panose1 w:val="00000000000000000000"/>
    <w:charset w:val="00"/>
    <w:family w:val="swiss"/>
    <w:pitch w:val="default"/>
    <w:sig w:usb0="00000000" w:usb1="00000000" w:usb2="00000000" w:usb3="00000000" w:csb0="2000019F" w:csb1="4F010000"/>
  </w:font>
  <w:font w:name="微软雅黑">
    <w:panose1 w:val="020B0503020204020204"/>
    <w:charset w:val="86"/>
    <w:family w:val="swiss"/>
    <w:pitch w:val="default"/>
    <w:sig w:usb0="80000287" w:usb1="2ACF3C50"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Times New Roman" w:hAnsi="Times New Roman" w:cs="Times New Roman"/>
        <w:sz w:val="21"/>
        <w:szCs w:val="21"/>
      </w:rPr>
      <w:id w:val="844831684"/>
      <w:docPartObj>
        <w:docPartGallery w:val="autotext"/>
      </w:docPartObj>
    </w:sdtPr>
    <w:sdtEndPr>
      <w:rPr>
        <w:rFonts w:ascii="Times New Roman" w:hAnsi="Times New Roman" w:cs="Times New Roman"/>
        <w:sz w:val="21"/>
        <w:szCs w:val="21"/>
      </w:rPr>
    </w:sdtEndPr>
    <w:sdtContent>
      <w:p w14:paraId="26DD3506">
        <w:pPr>
          <w:pStyle w:val="9"/>
          <w:jc w:val="center"/>
          <w:rPr>
            <w:rFonts w:ascii="Times New Roman" w:hAnsi="Times New Roman" w:cs="Times New Roman"/>
            <w:sz w:val="21"/>
            <w:szCs w:val="21"/>
          </w:rPr>
        </w:pPr>
        <w:r>
          <w:rPr>
            <w:rFonts w:ascii="Times New Roman" w:hAnsi="Times New Roman" w:cs="Times New Roman"/>
            <w:sz w:val="21"/>
            <w:szCs w:val="21"/>
          </w:rPr>
          <w:t xml:space="preserve">— </w:t>
        </w:r>
        <w:r>
          <w:rPr>
            <w:rFonts w:ascii="Times New Roman" w:hAnsi="Times New Roman" w:cs="Times New Roman"/>
            <w:sz w:val="21"/>
            <w:szCs w:val="21"/>
          </w:rPr>
          <w:fldChar w:fldCharType="begin"/>
        </w:r>
        <w:r>
          <w:rPr>
            <w:rFonts w:ascii="Times New Roman" w:hAnsi="Times New Roman" w:cs="Times New Roman"/>
            <w:sz w:val="21"/>
            <w:szCs w:val="21"/>
          </w:rPr>
          <w:instrText xml:space="preserve">PAGE   \* MERGEFORMAT</w:instrText>
        </w:r>
        <w:r>
          <w:rPr>
            <w:rFonts w:ascii="Times New Roman" w:hAnsi="Times New Roman" w:cs="Times New Roman"/>
            <w:sz w:val="21"/>
            <w:szCs w:val="21"/>
          </w:rPr>
          <w:fldChar w:fldCharType="separate"/>
        </w:r>
        <w:r>
          <w:rPr>
            <w:rFonts w:ascii="Times New Roman" w:hAnsi="Times New Roman" w:cs="Times New Roman"/>
            <w:sz w:val="21"/>
            <w:szCs w:val="21"/>
            <w:lang w:val="zh-CN"/>
          </w:rPr>
          <w:t>1</w:t>
        </w:r>
        <w:r>
          <w:rPr>
            <w:rFonts w:ascii="Times New Roman" w:hAnsi="Times New Roman" w:cs="Times New Roman"/>
            <w:sz w:val="21"/>
            <w:szCs w:val="21"/>
          </w:rPr>
          <w:fldChar w:fldCharType="end"/>
        </w:r>
        <w:r>
          <w:rPr>
            <w:rFonts w:ascii="Times New Roman" w:hAnsi="Times New Roman" w:cs="Times New Roman"/>
            <w:sz w:val="21"/>
            <w:szCs w:val="21"/>
          </w:rPr>
          <w:t xml:space="preserve"> —</w:t>
        </w:r>
      </w:p>
    </w:sdtContent>
  </w:sdt>
  <w:p w14:paraId="4ABAED44">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Times New Roman" w:hAnsi="Times New Roman" w:cs="Times New Roman"/>
        <w:sz w:val="21"/>
        <w:szCs w:val="21"/>
      </w:rPr>
      <w:id w:val="-1"/>
      <w:docPartObj>
        <w:docPartGallery w:val="autotext"/>
      </w:docPartObj>
    </w:sdtPr>
    <w:sdtEndPr>
      <w:rPr>
        <w:rFonts w:ascii="Times New Roman" w:hAnsi="Times New Roman" w:cs="Times New Roman"/>
        <w:sz w:val="21"/>
        <w:szCs w:val="21"/>
      </w:rPr>
    </w:sdtEndPr>
    <w:sdtContent>
      <w:p w14:paraId="57F4792A">
        <w:pPr>
          <w:pStyle w:val="9"/>
          <w:jc w:val="center"/>
          <w:rPr>
            <w:rFonts w:ascii="Times New Roman" w:hAnsi="Times New Roman" w:cs="Times New Roman"/>
            <w:sz w:val="21"/>
            <w:szCs w:val="21"/>
          </w:rPr>
        </w:pPr>
        <w:r>
          <w:rPr>
            <w:rFonts w:ascii="Times New Roman" w:hAnsi="Times New Roman" w:cs="Times New Roman"/>
            <w:sz w:val="21"/>
            <w:szCs w:val="21"/>
          </w:rPr>
          <w:t xml:space="preserve">— </w:t>
        </w:r>
        <w:r>
          <w:rPr>
            <w:rFonts w:ascii="Times New Roman" w:hAnsi="Times New Roman" w:cs="Times New Roman"/>
            <w:sz w:val="21"/>
            <w:szCs w:val="21"/>
          </w:rPr>
          <w:fldChar w:fldCharType="begin"/>
        </w:r>
        <w:r>
          <w:rPr>
            <w:rFonts w:ascii="Times New Roman" w:hAnsi="Times New Roman" w:cs="Times New Roman"/>
            <w:sz w:val="21"/>
            <w:szCs w:val="21"/>
          </w:rPr>
          <w:instrText xml:space="preserve">PAGE   \* MERGEFORMAT</w:instrText>
        </w:r>
        <w:r>
          <w:rPr>
            <w:rFonts w:ascii="Times New Roman" w:hAnsi="Times New Roman" w:cs="Times New Roman"/>
            <w:sz w:val="21"/>
            <w:szCs w:val="21"/>
          </w:rPr>
          <w:fldChar w:fldCharType="separate"/>
        </w:r>
        <w:r>
          <w:rPr>
            <w:rFonts w:ascii="Times New Roman" w:hAnsi="Times New Roman" w:cs="Times New Roman"/>
            <w:sz w:val="21"/>
            <w:szCs w:val="21"/>
            <w:lang w:val="zh-CN"/>
          </w:rPr>
          <w:t>3</w:t>
        </w:r>
        <w:r>
          <w:rPr>
            <w:rFonts w:ascii="Times New Roman" w:hAnsi="Times New Roman" w:cs="Times New Roman"/>
            <w:sz w:val="21"/>
            <w:szCs w:val="21"/>
          </w:rPr>
          <w:fldChar w:fldCharType="end"/>
        </w:r>
        <w:r>
          <w:rPr>
            <w:rFonts w:ascii="Times New Roman" w:hAnsi="Times New Roman" w:cs="Times New Roman"/>
            <w:sz w:val="21"/>
            <w:szCs w:val="21"/>
          </w:rPr>
          <w:t xml:space="preserve"> —</w:t>
        </w:r>
      </w:p>
    </w:sdtContent>
  </w:sdt>
  <w:p w14:paraId="4CAEBE13">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3FAF11">
    <w:pPr>
      <w:pStyle w:val="25"/>
      <w:tabs>
        <w:tab w:val="left" w:pos="3565"/>
      </w:tabs>
      <w:rPr>
        <w:rFonts w:ascii="宋体" w:hAnsi="宋体"/>
        <w:color w:val="000000"/>
      </w:rPr>
    </w:pPr>
    <w:r>
      <w:rPr>
        <w:rFonts w:hint="eastAsia" w:ascii="宋体" w:hAnsi="宋体" w:cs="宋体"/>
        <w:sz w:val="36"/>
        <w:szCs w:val="36"/>
      </w:rPr>
      <w:t xml:space="preserve"> </w:t>
    </w:r>
    <w:r>
      <w:rPr>
        <w:rFonts w:hint="eastAsia" w:ascii="宋体" w:hAnsi="宋体"/>
        <w:color w:val="000000"/>
      </w:rPr>
      <w:t>盐城幼儿师范高等专科学校询价文件（项目编号YCYZ2024</w:t>
    </w:r>
    <w:r>
      <w:rPr>
        <w:rFonts w:hint="eastAsia" w:ascii="宋体" w:hAnsi="宋体"/>
        <w:color w:val="000000"/>
        <w:lang w:val="en-US" w:eastAsia="zh-CN"/>
      </w:rPr>
      <w:t>HW</w:t>
    </w:r>
    <w:r>
      <w:rPr>
        <w:rFonts w:hint="eastAsia" w:ascii="宋体" w:hAnsi="宋体"/>
        <w:color w:val="000000"/>
        <w:lang w:eastAsia="zh-CN"/>
      </w:rPr>
      <w:t>00</w:t>
    </w:r>
    <w:r>
      <w:rPr>
        <w:rFonts w:hint="eastAsia" w:ascii="宋体" w:hAnsi="宋体"/>
        <w:color w:val="000000"/>
        <w:lang w:val="en-US" w:eastAsia="zh-CN"/>
      </w:rPr>
      <w:t>1</w:t>
    </w:r>
    <w:r>
      <w:rPr>
        <w:rFonts w:hint="eastAsia" w:ascii="宋体" w:hAnsi="宋体"/>
        <w:color w:val="000000"/>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07F7AF"/>
    <w:multiLevelType w:val="singleLevel"/>
    <w:tmpl w:val="9107F7AF"/>
    <w:lvl w:ilvl="0" w:tentative="0">
      <w:start w:val="4"/>
      <w:numFmt w:val="chineseCounting"/>
      <w:suff w:val="nothing"/>
      <w:lvlText w:val="%1、"/>
      <w:lvlJc w:val="left"/>
      <w:rPr>
        <w:rFonts w:hint="eastAsia"/>
      </w:rPr>
    </w:lvl>
  </w:abstractNum>
  <w:abstractNum w:abstractNumId="1">
    <w:nsid w:val="00000003"/>
    <w:multiLevelType w:val="singleLevel"/>
    <w:tmpl w:val="00000003"/>
    <w:lvl w:ilvl="0" w:tentative="0">
      <w:start w:val="3"/>
      <w:numFmt w:val="chineseCounting"/>
      <w:suff w:val="nothing"/>
      <w:lvlText w:val="%1、"/>
      <w:lvlJc w:val="left"/>
      <w:rPr>
        <w:rFonts w:hint="eastAsia"/>
      </w:rPr>
    </w:lvl>
  </w:abstractNum>
  <w:abstractNum w:abstractNumId="2">
    <w:nsid w:val="0C0531E8"/>
    <w:multiLevelType w:val="singleLevel"/>
    <w:tmpl w:val="0C0531E8"/>
    <w:lvl w:ilvl="0" w:tentative="0">
      <w:start w:val="1"/>
      <w:numFmt w:val="chineseCounting"/>
      <w:suff w:val="nothing"/>
      <w:lvlText w:val="%1、"/>
      <w:lvlJc w:val="left"/>
      <w:rPr>
        <w:rFonts w:hint="eastAsia"/>
      </w:rPr>
    </w:lvl>
  </w:abstractNum>
  <w:abstractNum w:abstractNumId="3">
    <w:nsid w:val="119C6A40"/>
    <w:multiLevelType w:val="singleLevel"/>
    <w:tmpl w:val="119C6A40"/>
    <w:lvl w:ilvl="0" w:tentative="0">
      <w:start w:val="10"/>
      <w:numFmt w:val="chineseCounting"/>
      <w:suff w:val="nothing"/>
      <w:lvlText w:val="%1、"/>
      <w:lvlJc w:val="left"/>
      <w:rPr>
        <w:rFonts w:hint="eastAsia"/>
      </w:rPr>
    </w:lvl>
  </w:abstractNum>
  <w:abstractNum w:abstractNumId="4">
    <w:nsid w:val="376CD0BF"/>
    <w:multiLevelType w:val="singleLevel"/>
    <w:tmpl w:val="376CD0BF"/>
    <w:lvl w:ilvl="0" w:tentative="0">
      <w:start w:val="1"/>
      <w:numFmt w:val="chineseCounting"/>
      <w:suff w:val="nothing"/>
      <w:lvlText w:val="%1、"/>
      <w:lvlJc w:val="left"/>
      <w:rPr>
        <w:rFonts w:hint="eastAsia"/>
      </w:rPr>
    </w:lvl>
  </w:abstractNum>
  <w:abstractNum w:abstractNumId="5">
    <w:nsid w:val="5AA82F17"/>
    <w:multiLevelType w:val="singleLevel"/>
    <w:tmpl w:val="5AA82F17"/>
    <w:lvl w:ilvl="0" w:tentative="0">
      <w:start w:val="12"/>
      <w:numFmt w:val="chineseCounting"/>
      <w:suff w:val="nothing"/>
      <w:lvlText w:val="%1、"/>
      <w:lvlJc w:val="left"/>
      <w:rPr>
        <w:rFonts w:hint="eastAsia"/>
      </w:rPr>
    </w:lvl>
  </w:abstractNum>
  <w:num w:numId="1">
    <w:abstractNumId w:val="0"/>
  </w:num>
  <w:num w:numId="2">
    <w:abstractNumId w:val="5"/>
  </w:num>
  <w:num w:numId="3">
    <w:abstractNumId w:val="1"/>
  </w:num>
  <w:num w:numId="4">
    <w:abstractNumId w:val="4"/>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61"/>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gzMjM3NDEyMWE3YjFiYjRhMjQzMWMyNmFhOGRhODcifQ=="/>
  </w:docVars>
  <w:rsids>
    <w:rsidRoot w:val="11AC25C5"/>
    <w:rsid w:val="0002567D"/>
    <w:rsid w:val="00037948"/>
    <w:rsid w:val="001E31D6"/>
    <w:rsid w:val="001F1934"/>
    <w:rsid w:val="00247A02"/>
    <w:rsid w:val="0027246E"/>
    <w:rsid w:val="00372C98"/>
    <w:rsid w:val="004C20F4"/>
    <w:rsid w:val="004F5E6F"/>
    <w:rsid w:val="0051721D"/>
    <w:rsid w:val="00685B43"/>
    <w:rsid w:val="006E689A"/>
    <w:rsid w:val="00743A82"/>
    <w:rsid w:val="009477D4"/>
    <w:rsid w:val="009D4444"/>
    <w:rsid w:val="00A26893"/>
    <w:rsid w:val="00B35220"/>
    <w:rsid w:val="00BA564C"/>
    <w:rsid w:val="00BB624D"/>
    <w:rsid w:val="00CA103C"/>
    <w:rsid w:val="00CA6D0C"/>
    <w:rsid w:val="00D14AE3"/>
    <w:rsid w:val="00D64D96"/>
    <w:rsid w:val="00DC5EEE"/>
    <w:rsid w:val="00E16FB1"/>
    <w:rsid w:val="00E2088F"/>
    <w:rsid w:val="00E516B6"/>
    <w:rsid w:val="00F25267"/>
    <w:rsid w:val="00F71480"/>
    <w:rsid w:val="00FC4B85"/>
    <w:rsid w:val="00FD37B7"/>
    <w:rsid w:val="016D2220"/>
    <w:rsid w:val="01BE4FD1"/>
    <w:rsid w:val="01CB7772"/>
    <w:rsid w:val="020C4532"/>
    <w:rsid w:val="02586C90"/>
    <w:rsid w:val="057C6EC2"/>
    <w:rsid w:val="07161208"/>
    <w:rsid w:val="0752156E"/>
    <w:rsid w:val="07F52C75"/>
    <w:rsid w:val="088A0535"/>
    <w:rsid w:val="08FA0E71"/>
    <w:rsid w:val="0A140D7B"/>
    <w:rsid w:val="0A2303F0"/>
    <w:rsid w:val="0DBE38B4"/>
    <w:rsid w:val="0E2A021A"/>
    <w:rsid w:val="0E657899"/>
    <w:rsid w:val="0EE84643"/>
    <w:rsid w:val="0EF56A7A"/>
    <w:rsid w:val="10395F50"/>
    <w:rsid w:val="11AC25C5"/>
    <w:rsid w:val="11DE311B"/>
    <w:rsid w:val="148B12E6"/>
    <w:rsid w:val="14D97897"/>
    <w:rsid w:val="15E92301"/>
    <w:rsid w:val="19B7076B"/>
    <w:rsid w:val="1A8F7C9E"/>
    <w:rsid w:val="1BF34341"/>
    <w:rsid w:val="1BFB0EAA"/>
    <w:rsid w:val="1CAB4828"/>
    <w:rsid w:val="1CC30F52"/>
    <w:rsid w:val="1DFF2239"/>
    <w:rsid w:val="1F7417E1"/>
    <w:rsid w:val="206D2C09"/>
    <w:rsid w:val="20920C11"/>
    <w:rsid w:val="231057D9"/>
    <w:rsid w:val="256F0937"/>
    <w:rsid w:val="257007B0"/>
    <w:rsid w:val="25F33F8A"/>
    <w:rsid w:val="26E96519"/>
    <w:rsid w:val="27943BD2"/>
    <w:rsid w:val="29D460E4"/>
    <w:rsid w:val="2A890B45"/>
    <w:rsid w:val="2A8F0A82"/>
    <w:rsid w:val="2B3C1AAE"/>
    <w:rsid w:val="2DFA14F9"/>
    <w:rsid w:val="2DFD2DFD"/>
    <w:rsid w:val="2F106B60"/>
    <w:rsid w:val="2F67254F"/>
    <w:rsid w:val="2F9B0F14"/>
    <w:rsid w:val="2FFF30A5"/>
    <w:rsid w:val="301019B9"/>
    <w:rsid w:val="30EF7582"/>
    <w:rsid w:val="31337E38"/>
    <w:rsid w:val="313844C5"/>
    <w:rsid w:val="32465C69"/>
    <w:rsid w:val="333B14E3"/>
    <w:rsid w:val="344717D4"/>
    <w:rsid w:val="359838FF"/>
    <w:rsid w:val="360B0081"/>
    <w:rsid w:val="36C721FA"/>
    <w:rsid w:val="37060F75"/>
    <w:rsid w:val="37307DA0"/>
    <w:rsid w:val="38FB43DD"/>
    <w:rsid w:val="39672DBD"/>
    <w:rsid w:val="39B0341A"/>
    <w:rsid w:val="39E41315"/>
    <w:rsid w:val="3A836257"/>
    <w:rsid w:val="3C3F52C6"/>
    <w:rsid w:val="3C94492D"/>
    <w:rsid w:val="3CAC3FE7"/>
    <w:rsid w:val="3D325B2C"/>
    <w:rsid w:val="3DD5344F"/>
    <w:rsid w:val="3E444175"/>
    <w:rsid w:val="3EB73C36"/>
    <w:rsid w:val="3EC208EA"/>
    <w:rsid w:val="3F2A735E"/>
    <w:rsid w:val="3FF20A09"/>
    <w:rsid w:val="401B5C85"/>
    <w:rsid w:val="423A7576"/>
    <w:rsid w:val="4247506E"/>
    <w:rsid w:val="426B1847"/>
    <w:rsid w:val="452B429C"/>
    <w:rsid w:val="455177A4"/>
    <w:rsid w:val="462C5BD6"/>
    <w:rsid w:val="46625CAE"/>
    <w:rsid w:val="466F71D6"/>
    <w:rsid w:val="47615BBB"/>
    <w:rsid w:val="47EC6176"/>
    <w:rsid w:val="48DC15ED"/>
    <w:rsid w:val="4AC955A8"/>
    <w:rsid w:val="4B306168"/>
    <w:rsid w:val="4B8D3A3E"/>
    <w:rsid w:val="4D9F49FE"/>
    <w:rsid w:val="4EA944E6"/>
    <w:rsid w:val="4EF82AF3"/>
    <w:rsid w:val="510A7039"/>
    <w:rsid w:val="531D070E"/>
    <w:rsid w:val="54720CF8"/>
    <w:rsid w:val="548B2661"/>
    <w:rsid w:val="548F1A82"/>
    <w:rsid w:val="54B25E40"/>
    <w:rsid w:val="54D44008"/>
    <w:rsid w:val="5596226C"/>
    <w:rsid w:val="56E47EB8"/>
    <w:rsid w:val="56F27BD9"/>
    <w:rsid w:val="5AAC2488"/>
    <w:rsid w:val="5BFB1C28"/>
    <w:rsid w:val="5C2B6ADF"/>
    <w:rsid w:val="5C5C1178"/>
    <w:rsid w:val="5C8E5C48"/>
    <w:rsid w:val="5ED35331"/>
    <w:rsid w:val="5FE86F99"/>
    <w:rsid w:val="61891CD7"/>
    <w:rsid w:val="62B1511E"/>
    <w:rsid w:val="63C86F4A"/>
    <w:rsid w:val="646A4041"/>
    <w:rsid w:val="655B3FD7"/>
    <w:rsid w:val="66CF2882"/>
    <w:rsid w:val="67DC5685"/>
    <w:rsid w:val="67DD1876"/>
    <w:rsid w:val="68150768"/>
    <w:rsid w:val="6AE21764"/>
    <w:rsid w:val="6B2C4161"/>
    <w:rsid w:val="6C906743"/>
    <w:rsid w:val="6EE52D80"/>
    <w:rsid w:val="6F2E3EBD"/>
    <w:rsid w:val="6F765694"/>
    <w:rsid w:val="70DF2DF3"/>
    <w:rsid w:val="718F3339"/>
    <w:rsid w:val="728E4FD4"/>
    <w:rsid w:val="734D525A"/>
    <w:rsid w:val="739B3F42"/>
    <w:rsid w:val="746A3BEA"/>
    <w:rsid w:val="7472484C"/>
    <w:rsid w:val="7520754B"/>
    <w:rsid w:val="75FE3891"/>
    <w:rsid w:val="766D0E6E"/>
    <w:rsid w:val="769B62DC"/>
    <w:rsid w:val="77AD4E19"/>
    <w:rsid w:val="77EE674D"/>
    <w:rsid w:val="79905B80"/>
    <w:rsid w:val="7B2753AE"/>
    <w:rsid w:val="7BF21927"/>
    <w:rsid w:val="7BFD2AAB"/>
    <w:rsid w:val="7CE2345C"/>
    <w:rsid w:val="7DB81D35"/>
    <w:rsid w:val="7F2F6466"/>
    <w:rsid w:val="7F55167C"/>
    <w:rsid w:val="7FD170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nhideWhenUsed="0" w:uiPriority="0" w:semiHidden="0" w:name="heading 3"/>
    <w:lsdException w:qFormat="1"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unhideWhenUsed/>
    <w:qFormat/>
    <w:uiPriority w:val="9"/>
    <w:pPr>
      <w:keepNext/>
      <w:keepLines/>
      <w:spacing w:before="260" w:after="260" w:line="360" w:lineRule="auto"/>
      <w:jc w:val="left"/>
      <w:outlineLvl w:val="1"/>
    </w:pPr>
    <w:rPr>
      <w:rFonts w:ascii="宋体" w:hAnsi="宋体" w:eastAsia="黑体" w:cs="宋体"/>
      <w:sz w:val="28"/>
      <w:szCs w:val="28"/>
    </w:rPr>
  </w:style>
  <w:style w:type="paragraph" w:styleId="3">
    <w:name w:val="heading 3"/>
    <w:basedOn w:val="1"/>
    <w:next w:val="1"/>
    <w:qFormat/>
    <w:uiPriority w:val="0"/>
    <w:pPr>
      <w:keepNext/>
      <w:keepLines/>
      <w:spacing w:before="260" w:after="260" w:line="416" w:lineRule="auto"/>
      <w:outlineLvl w:val="2"/>
    </w:pPr>
    <w:rPr>
      <w:b/>
      <w:bCs/>
      <w:sz w:val="32"/>
      <w:szCs w:val="32"/>
    </w:rPr>
  </w:style>
  <w:style w:type="paragraph" w:styleId="4">
    <w:name w:val="heading 4"/>
    <w:basedOn w:val="1"/>
    <w:next w:val="1"/>
    <w:unhideWhenUsed/>
    <w:qFormat/>
    <w:uiPriority w:val="9"/>
    <w:pPr>
      <w:keepNext/>
      <w:keepLines/>
      <w:spacing w:before="320" w:after="200"/>
      <w:jc w:val="left"/>
      <w:outlineLvl w:val="3"/>
    </w:pPr>
    <w:rPr>
      <w:rFonts w:ascii="Arial" w:hAnsi="Arial" w:eastAsia="Arial" w:cs="Arial"/>
      <w:b/>
      <w:bCs/>
      <w:sz w:val="26"/>
      <w:szCs w:val="26"/>
      <w:lang w:eastAsia="en-US"/>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pPr>
    <w:rPr>
      <w:szCs w:val="20"/>
    </w:rPr>
  </w:style>
  <w:style w:type="paragraph" w:styleId="6">
    <w:name w:val="Body Text"/>
    <w:basedOn w:val="1"/>
    <w:next w:val="1"/>
    <w:unhideWhenUsed/>
    <w:qFormat/>
    <w:uiPriority w:val="99"/>
    <w:pPr>
      <w:spacing w:after="120"/>
    </w:pPr>
  </w:style>
  <w:style w:type="paragraph" w:styleId="7">
    <w:name w:val="Body Text Indent"/>
    <w:basedOn w:val="1"/>
    <w:qFormat/>
    <w:uiPriority w:val="0"/>
    <w:pPr>
      <w:ind w:firstLine="645"/>
    </w:pPr>
    <w:rPr>
      <w:rFonts w:ascii="楷体_GB2312" w:hAnsi="Times New Roman" w:eastAsia="楷体_GB2312" w:cs="Times New Roman"/>
      <w:sz w:val="32"/>
      <w:szCs w:val="32"/>
    </w:rPr>
  </w:style>
  <w:style w:type="paragraph" w:styleId="8">
    <w:name w:val="Block Text"/>
    <w:basedOn w:val="1"/>
    <w:qFormat/>
    <w:uiPriority w:val="0"/>
    <w:pPr>
      <w:tabs>
        <w:tab w:val="left" w:pos="9000"/>
      </w:tabs>
      <w:spacing w:after="120"/>
      <w:ind w:left="1440" w:leftChars="700" w:right="1440" w:rightChars="700"/>
    </w:pPr>
    <w:rPr>
      <w:rFonts w:ascii="Times New Roman" w:hAnsi="Times New Roman" w:eastAsia="宋体" w:cs="Times New Roman"/>
    </w:rPr>
  </w:style>
  <w:style w:type="paragraph" w:styleId="9">
    <w:name w:val="footer"/>
    <w:basedOn w:val="1"/>
    <w:link w:val="34"/>
    <w:qFormat/>
    <w:uiPriority w:val="99"/>
    <w:pPr>
      <w:tabs>
        <w:tab w:val="center" w:pos="4153"/>
        <w:tab w:val="right" w:pos="8306"/>
      </w:tabs>
      <w:snapToGrid w:val="0"/>
      <w:jc w:val="left"/>
    </w:pPr>
    <w:rPr>
      <w:sz w:val="18"/>
    </w:rPr>
  </w:style>
  <w:style w:type="paragraph" w:styleId="10">
    <w:name w:val="envelope return"/>
    <w:basedOn w:val="1"/>
    <w:unhideWhenUsed/>
    <w:qFormat/>
    <w:uiPriority w:val="0"/>
    <w:pPr>
      <w:snapToGrid w:val="0"/>
    </w:pPr>
    <w:rPr>
      <w:rFonts w:ascii="Arial" w:hAnsi="Arial"/>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2">
    <w:name w:val="toc 1"/>
    <w:basedOn w:val="1"/>
    <w:next w:val="1"/>
    <w:qFormat/>
    <w:uiPriority w:val="39"/>
  </w:style>
  <w:style w:type="paragraph" w:styleId="13">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4">
    <w:name w:val="Body Text First Indent"/>
    <w:basedOn w:val="1"/>
    <w:unhideWhenUsed/>
    <w:qFormat/>
    <w:uiPriority w:val="99"/>
    <w:pPr>
      <w:tabs>
        <w:tab w:val="left" w:pos="567"/>
      </w:tabs>
      <w:ind w:firstLine="420" w:firstLineChars="100"/>
    </w:pPr>
  </w:style>
  <w:style w:type="paragraph" w:styleId="15">
    <w:name w:val="Body Text First Indent 2"/>
    <w:basedOn w:val="7"/>
    <w:qFormat/>
    <w:uiPriority w:val="0"/>
    <w:pPr>
      <w:spacing w:line="360" w:lineRule="auto"/>
      <w:ind w:firstLine="420" w:firstLineChars="200"/>
    </w:pPr>
    <w:rPr>
      <w:rFonts w:ascii="宋体" w:hAnsi="宋体" w:eastAsia="宋体"/>
      <w:sz w:val="21"/>
      <w:szCs w:val="20"/>
    </w:rPr>
  </w:style>
  <w:style w:type="table" w:styleId="17">
    <w:name w:val="Table Grid"/>
    <w:basedOn w:val="1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page number"/>
    <w:qFormat/>
    <w:uiPriority w:val="0"/>
    <w:rPr>
      <w:rFonts w:ascii="Times New Roman" w:hAnsi="Times New Roman" w:eastAsia="宋体" w:cs="Times New Roman"/>
    </w:rPr>
  </w:style>
  <w:style w:type="character" w:styleId="20">
    <w:name w:val="Hyperlink"/>
    <w:basedOn w:val="18"/>
    <w:unhideWhenUsed/>
    <w:qFormat/>
    <w:uiPriority w:val="99"/>
    <w:rPr>
      <w:color w:val="0026E5" w:themeColor="hyperlink"/>
      <w:u w:val="single"/>
      <w14:textFill>
        <w14:solidFill>
          <w14:schemeClr w14:val="hlink"/>
        </w14:solidFill>
      </w14:textFill>
    </w:rPr>
  </w:style>
  <w:style w:type="paragraph" w:customStyle="1" w:styleId="21">
    <w:name w:val="无间隔1"/>
    <w:basedOn w:val="1"/>
    <w:qFormat/>
    <w:uiPriority w:val="0"/>
    <w:pPr>
      <w:spacing w:line="400" w:lineRule="exact"/>
    </w:pPr>
    <w:rPr>
      <w:sz w:val="24"/>
    </w:rPr>
  </w:style>
  <w:style w:type="paragraph" w:customStyle="1" w:styleId="22">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23">
    <w:name w:val="[Normal]"/>
    <w:qFormat/>
    <w:uiPriority w:val="0"/>
    <w:rPr>
      <w:rFonts w:ascii="方正仿宋简体" w:hAnsi="方正仿宋简体" w:eastAsia="方正仿宋简体" w:cs="Courier New"/>
      <w:sz w:val="24"/>
      <w:szCs w:val="22"/>
      <w:lang w:val="zh-CN" w:eastAsia="zh-CN" w:bidi="ar-SA"/>
    </w:rPr>
  </w:style>
  <w:style w:type="paragraph" w:customStyle="1" w:styleId="24">
    <w:name w:val="普通(网站)11"/>
    <w:basedOn w:val="1"/>
    <w:qFormat/>
    <w:uiPriority w:val="0"/>
    <w:pPr>
      <w:widowControl/>
      <w:spacing w:before="100" w:beforeAutospacing="1" w:after="100" w:afterAutospacing="1"/>
      <w:jc w:val="left"/>
    </w:pPr>
    <w:rPr>
      <w:rFonts w:ascii="宋体" w:hAnsi="宋体" w:cs="宋体"/>
      <w:sz w:val="24"/>
    </w:rPr>
  </w:style>
  <w:style w:type="paragraph" w:customStyle="1" w:styleId="25">
    <w:name w:val="页眉11"/>
    <w:basedOn w:val="1"/>
    <w:qFormat/>
    <w:uiPriority w:val="0"/>
    <w:pPr>
      <w:pBdr>
        <w:bottom w:val="single" w:color="000000" w:sz="6" w:space="1"/>
      </w:pBdr>
      <w:tabs>
        <w:tab w:val="center" w:pos="4153"/>
        <w:tab w:val="right" w:pos="8306"/>
      </w:tabs>
      <w:jc w:val="center"/>
    </w:pPr>
    <w:rPr>
      <w:sz w:val="18"/>
      <w:szCs w:val="18"/>
    </w:rPr>
  </w:style>
  <w:style w:type="paragraph" w:customStyle="1" w:styleId="26">
    <w:name w:val="目录 11"/>
    <w:basedOn w:val="1"/>
    <w:next w:val="1"/>
    <w:unhideWhenUsed/>
    <w:qFormat/>
    <w:uiPriority w:val="39"/>
    <w:pPr>
      <w:spacing w:after="57"/>
    </w:pPr>
  </w:style>
  <w:style w:type="character" w:customStyle="1" w:styleId="27">
    <w:name w:val="NormalCharacter"/>
    <w:semiHidden/>
    <w:qFormat/>
    <w:uiPriority w:val="0"/>
  </w:style>
  <w:style w:type="paragraph" w:customStyle="1" w:styleId="28">
    <w:name w:val="索引 91"/>
    <w:basedOn w:val="1"/>
    <w:next w:val="1"/>
    <w:unhideWhenUsed/>
    <w:qFormat/>
    <w:uiPriority w:val="99"/>
    <w:pPr>
      <w:ind w:left="1600"/>
    </w:pPr>
  </w:style>
  <w:style w:type="paragraph" w:customStyle="1" w:styleId="29">
    <w:name w:val="纯文本1"/>
    <w:basedOn w:val="1"/>
    <w:qFormat/>
    <w:uiPriority w:val="99"/>
    <w:rPr>
      <w:rFonts w:ascii="宋体" w:hAnsi="Courier New"/>
      <w:szCs w:val="20"/>
    </w:rPr>
  </w:style>
  <w:style w:type="paragraph" w:customStyle="1" w:styleId="30">
    <w:name w:val="普通(网站)1"/>
    <w:basedOn w:val="1"/>
    <w:qFormat/>
    <w:uiPriority w:val="99"/>
    <w:pPr>
      <w:widowControl/>
      <w:spacing w:before="100" w:beforeAutospacing="1" w:after="100" w:afterAutospacing="1"/>
      <w:jc w:val="left"/>
    </w:pPr>
    <w:rPr>
      <w:rFonts w:ascii="宋体" w:hAnsi="宋体" w:cs="宋体"/>
      <w:sz w:val="24"/>
    </w:rPr>
  </w:style>
  <w:style w:type="paragraph" w:customStyle="1" w:styleId="31">
    <w:name w:val="正文缩进1"/>
    <w:basedOn w:val="1"/>
    <w:qFormat/>
    <w:uiPriority w:val="0"/>
    <w:pPr>
      <w:ind w:firstLine="420"/>
    </w:pPr>
  </w:style>
  <w:style w:type="paragraph" w:customStyle="1" w:styleId="32">
    <w:name w:val="页脚11"/>
    <w:basedOn w:val="1"/>
    <w:qFormat/>
    <w:uiPriority w:val="99"/>
    <w:pPr>
      <w:tabs>
        <w:tab w:val="center" w:pos="4153"/>
        <w:tab w:val="right" w:pos="8306"/>
      </w:tabs>
      <w:jc w:val="left"/>
    </w:pPr>
    <w:rPr>
      <w:sz w:val="18"/>
      <w:szCs w:val="20"/>
    </w:rPr>
  </w:style>
  <w:style w:type="character" w:customStyle="1" w:styleId="33">
    <w:name w:val="页码11"/>
    <w:qFormat/>
    <w:uiPriority w:val="0"/>
    <w:rPr>
      <w:rFonts w:asciiTheme="minorHAnsi" w:hAnsiTheme="minorHAnsi" w:eastAsiaTheme="minorEastAsia" w:cstheme="minorBidi"/>
      <w:kern w:val="2"/>
      <w:sz w:val="21"/>
      <w:szCs w:val="24"/>
      <w:lang w:val="en-US" w:eastAsia="zh-CN" w:bidi="ar-SA"/>
    </w:rPr>
  </w:style>
  <w:style w:type="character" w:customStyle="1" w:styleId="34">
    <w:name w:val="页脚 字符"/>
    <w:basedOn w:val="18"/>
    <w:link w:val="9"/>
    <w:qFormat/>
    <w:uiPriority w:val="99"/>
    <w:rPr>
      <w:rFonts w:asciiTheme="minorHAnsi" w:hAnsiTheme="minorHAnsi" w:eastAsiaTheme="minorEastAsia" w:cstheme="minorBidi"/>
      <w:kern w:val="2"/>
      <w:sz w:val="18"/>
      <w:szCs w:val="24"/>
    </w:rPr>
  </w:style>
  <w:style w:type="paragraph" w:customStyle="1" w:styleId="35">
    <w:name w:val="列出段落11"/>
    <w:basedOn w:val="1"/>
    <w:qFormat/>
    <w:uiPriority w:val="99"/>
    <w:pPr>
      <w:widowControl/>
      <w:ind w:left="720"/>
      <w:contextualSpacing/>
      <w:jc w:val="left"/>
    </w:pPr>
    <w:rPr>
      <w:rFonts w:ascii="Calibri" w:hAnsi="Calibri"/>
      <w:kern w:val="0"/>
      <w:sz w:val="24"/>
      <w:szCs w:val="20"/>
      <w:lang w:eastAsia="en-US"/>
    </w:rPr>
  </w:style>
  <w:style w:type="paragraph" w:customStyle="1" w:styleId="36">
    <w:name w:val="Char"/>
    <w:basedOn w:val="1"/>
    <w:qFormat/>
    <w:uiPriority w:val="0"/>
    <w:pPr>
      <w:tabs>
        <w:tab w:val="left" w:pos="360"/>
      </w:tabs>
    </w:pPr>
    <w:rPr>
      <w:rFonts w:ascii="Times New Roman" w:hAnsi="Times New Roman" w:eastAsia="宋体" w:cs="Times New Roman"/>
      <w:sz w:val="24"/>
    </w:rPr>
  </w:style>
  <w:style w:type="paragraph" w:styleId="37">
    <w:name w:val="List Paragraph"/>
    <w:basedOn w:val="1"/>
    <w:unhideWhenUsed/>
    <w:qFormat/>
    <w:uiPriority w:val="99"/>
    <w:pPr>
      <w:ind w:firstLine="420" w:firstLineChars="200"/>
    </w:pPr>
  </w:style>
  <w:style w:type="paragraph" w:customStyle="1" w:styleId="38">
    <w:name w:val="正文空2格  1."/>
    <w:basedOn w:val="1"/>
    <w:qFormat/>
    <w:uiPriority w:val="0"/>
    <w:pPr>
      <w:ind w:firstLine="480"/>
    </w:pPr>
    <w:rPr>
      <w:szCs w:val="20"/>
    </w:rPr>
  </w:style>
  <w:style w:type="paragraph" w:customStyle="1" w:styleId="39">
    <w:name w:val="正文文本1"/>
    <w:basedOn w:val="1"/>
    <w:qFormat/>
    <w:uiPriority w:val="0"/>
    <w:pPr>
      <w:spacing w:after="120"/>
    </w:pPr>
    <w:rPr>
      <w:kern w:val="0"/>
      <w:sz w:val="20"/>
      <w:szCs w:val="20"/>
    </w:rPr>
  </w:style>
  <w:style w:type="paragraph" w:customStyle="1" w:styleId="40">
    <w:name w:val="模板普通正文"/>
    <w:basedOn w:val="41"/>
    <w:qFormat/>
    <w:uiPriority w:val="0"/>
    <w:pPr>
      <w:spacing w:after="10" w:line="200" w:lineRule="exact"/>
      <w:ind w:left="0" w:leftChars="0" w:firstLine="490" w:firstLineChars="175"/>
    </w:pPr>
    <w:rPr>
      <w:rFonts w:ascii="Times New Roman" w:hAnsi="Times New Roman"/>
      <w:kern w:val="2"/>
      <w:sz w:val="21"/>
      <w:szCs w:val="24"/>
    </w:rPr>
  </w:style>
  <w:style w:type="paragraph" w:customStyle="1" w:styleId="41">
    <w:name w:val="正文文本缩进1"/>
    <w:basedOn w:val="1"/>
    <w:qFormat/>
    <w:uiPriority w:val="0"/>
    <w:pPr>
      <w:spacing w:after="120"/>
      <w:ind w:left="420" w:leftChars="200"/>
    </w:pPr>
    <w:rPr>
      <w:kern w:val="0"/>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54</Pages>
  <Words>23465</Words>
  <Characters>27668</Characters>
  <Lines>328</Lines>
  <Paragraphs>92</Paragraphs>
  <TotalTime>46</TotalTime>
  <ScaleCrop>false</ScaleCrop>
  <LinksUpToDate>false</LinksUpToDate>
  <CharactersWithSpaces>29208</CharactersWithSpaces>
  <Application>WPS Office_12.1.0.17133_F1E327BC-269C-435d-A152-05C5408002CA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2024-04-16T11:22:00Z</dcterms:created>
  <dc:creator>小城</dc:creator>
  <cp:lastModifiedBy>小瑜</cp:lastModifiedBy>
  <dcterms:modified xsi:type="dcterms:W3CDTF">2024-06-14T10:31:53Z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2052-12.1.0.17133</vt:lpwstr>
  </property>
  <property fmtid="{D5CDD505-2E9C-101B-9397-08002B2CF9AE}" pid="3" name="ICV">
    <vt:lpwstr>3AC06A7B224547E18CB7F230718B36F7_13</vt:lpwstr>
  </property>
</Properties>
</file>