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1C" w:rsidRDefault="00CD141C" w:rsidP="00D31D50">
      <w:pPr>
        <w:spacing w:line="220" w:lineRule="atLeast"/>
      </w:pPr>
    </w:p>
    <w:tbl>
      <w:tblPr>
        <w:tblW w:w="8816" w:type="dxa"/>
        <w:tblInd w:w="93" w:type="dxa"/>
        <w:tblLook w:val="04A0"/>
      </w:tblPr>
      <w:tblGrid>
        <w:gridCol w:w="436"/>
        <w:gridCol w:w="1564"/>
        <w:gridCol w:w="856"/>
        <w:gridCol w:w="2380"/>
        <w:gridCol w:w="3580"/>
      </w:tblGrid>
      <w:tr w:rsidR="00CD141C" w:rsidRPr="00CD141C" w:rsidTr="00810475">
        <w:trPr>
          <w:trHeight w:val="495"/>
        </w:trPr>
        <w:tc>
          <w:tcPr>
            <w:tcW w:w="8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141C" w:rsidRPr="00323639" w:rsidRDefault="00323639" w:rsidP="00CD141C">
            <w:pPr>
              <w:adjustRightInd/>
              <w:snapToGrid/>
              <w:spacing w:after="0"/>
              <w:jc w:val="center"/>
              <w:rPr>
                <w:rFonts w:ascii="方正小标宋_GBK" w:eastAsia="方正小标宋_GBK" w:hAnsi="宋体" w:cs="宋体"/>
                <w:b/>
                <w:color w:val="000000"/>
                <w:sz w:val="44"/>
                <w:szCs w:val="44"/>
              </w:rPr>
            </w:pPr>
            <w:r w:rsidRPr="00323639">
              <w:rPr>
                <w:rFonts w:ascii="方正小标宋_GBK" w:eastAsia="方正小标宋_GBK" w:hAnsi="宋体" w:cs="宋体" w:hint="eastAsia"/>
                <w:b/>
                <w:color w:val="000000"/>
                <w:sz w:val="44"/>
                <w:szCs w:val="44"/>
              </w:rPr>
              <w:t>廉政风险排查表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方正小标宋_GBK" w:eastAsia="方正小标宋_GBK" w:hAnsi="宋体" w:cs="宋体"/>
                <w:color w:val="000000"/>
                <w:sz w:val="44"/>
                <w:szCs w:val="44"/>
              </w:rPr>
            </w:pPr>
          </w:p>
        </w:tc>
      </w:tr>
      <w:tr w:rsidR="00CD141C" w:rsidRPr="00CD141C" w:rsidTr="00810475">
        <w:trPr>
          <w:trHeight w:val="405"/>
        </w:trPr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填报单位： 财务处</w:t>
            </w:r>
            <w:r w:rsidR="00965055"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（招标办）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B01FC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　</w:t>
            </w:r>
          </w:p>
        </w:tc>
      </w:tr>
      <w:tr w:rsidR="00CD141C" w:rsidRPr="00CD141C" w:rsidTr="00394164">
        <w:trPr>
          <w:trHeight w:val="58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PMingLiU" w:eastAsia="PMingLiU" w:hAnsi="PMingLiU" w:cs="宋体"/>
                <w:color w:val="000000"/>
              </w:rPr>
            </w:pPr>
            <w:r w:rsidRPr="00CD141C">
              <w:rPr>
                <w:rFonts w:ascii="PMingLiU" w:eastAsia="PMingLiU" w:hAnsi="PMingLiU" w:cs="宋体" w:hint="eastAsia"/>
                <w:color w:val="000000"/>
              </w:rPr>
              <w:t>序号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岗位名称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风险点及表现形式</w:t>
            </w:r>
          </w:p>
        </w:tc>
      </w:tr>
      <w:tr w:rsidR="00CD141C" w:rsidRPr="00CD141C" w:rsidTr="00394164">
        <w:trPr>
          <w:trHeight w:val="58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职权名称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廉政风险点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B01FC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防控措施</w:t>
            </w:r>
          </w:p>
        </w:tc>
      </w:tr>
      <w:tr w:rsidR="00CD141C" w:rsidRPr="00CD141C" w:rsidTr="00394164">
        <w:trPr>
          <w:trHeight w:val="38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PMingLiU" w:eastAsia="PMingLiU" w:hAnsi="PMingLiU" w:cs="宋体"/>
                <w:color w:val="000000"/>
              </w:rPr>
            </w:pPr>
            <w:r w:rsidRPr="00CD141C">
              <w:rPr>
                <w:rFonts w:ascii="PMingLiU" w:eastAsia="PMingLiU" w:hAnsi="PMingLiU" w:cs="宋体" w:hint="eastAsia"/>
                <w:color w:val="000000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预算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编制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1.预算编制不遵循相关规章制度规定。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1.严格按照省、市财政厅相关预算管理文件规定，编制年度预算草案。</w:t>
            </w:r>
          </w:p>
        </w:tc>
      </w:tr>
      <w:tr w:rsidR="00CD141C" w:rsidRPr="00CD141C" w:rsidTr="00394164">
        <w:trPr>
          <w:trHeight w:val="127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2.预算编制缺乏调研，不科学、不合理。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2.根据市人设局审批的相关定额标准编制，人员经费按相关政策、上年实际发放项目和本年人员增减变动等情况测算核定，专项经费根据市有关规定按轻重缓急排序。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3.预算编制存在超范围编制、违规编制、随意编制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3.采用“零基预算”法和“二上二下”程序编制年度预算草案。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4.财务处深入调研，核实基础数据，预算编制情况须与分管校领导、职能部门、相关单位充分沟通，接受反馈意见。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5.校财</w:t>
            </w:r>
            <w:r w:rsidR="00B01FC5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务内控</w:t>
            </w: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工作领导小组监督预算编制过程，防止超范围编制、违规编制、随意编制。</w:t>
            </w:r>
          </w:p>
        </w:tc>
      </w:tr>
      <w:tr w:rsidR="00CD141C" w:rsidRPr="00CD141C" w:rsidTr="00394164">
        <w:trPr>
          <w:trHeight w:val="106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475" w:rsidRPr="00CD141C" w:rsidRDefault="00CD141C" w:rsidP="001318F4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6.学校校长办公会审议年度预算方案，并上报学校党委会审核通过。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PMingLiU" w:eastAsia="PMingLiU" w:hAnsi="PMingLiU" w:cs="宋体"/>
                <w:color w:val="000000"/>
              </w:rPr>
            </w:pPr>
            <w:r w:rsidRPr="00CD141C">
              <w:rPr>
                <w:rFonts w:ascii="PMingLiU" w:eastAsia="PMingLiU" w:hAnsi="PMingLiU" w:cs="宋体" w:hint="eastAsia"/>
                <w:color w:val="000000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财务处具体经办会计人员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预算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执行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1.预算执行不严格，存在挪用、超支现象。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1.积极采取措施，加强收入管理，确保年度各项收入计划完成。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2.预算执行监督不力，不能及时发现、反馈预算执行存在的问题。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2.严格按照《盐城幼儿师范高等专科学校经费使用规定（试行）》各类经费开支范围和标准执行预算，专款专用，限额使用，严禁超支、挪用。</w:t>
            </w:r>
          </w:p>
        </w:tc>
      </w:tr>
      <w:tr w:rsidR="00CD141C" w:rsidRPr="00CD141C" w:rsidTr="00394164">
        <w:trPr>
          <w:trHeight w:val="127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3.加强对学校预算执行情况进行监督分析，定期编制预算执行情况反馈表，分析预算执行情况，确保及时发现预算执行中存在的问题，提高资金使用效益。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4.建立相应的预算执行监督检查与绩效评价机制。</w:t>
            </w:r>
          </w:p>
        </w:tc>
      </w:tr>
      <w:tr w:rsidR="00CD141C" w:rsidRPr="00CD141C" w:rsidTr="00394164">
        <w:trPr>
          <w:trHeight w:val="92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5.财务处在部门网站提供财务数据实时查询平台。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PMingLiU" w:eastAsia="PMingLiU" w:hAnsi="PMingLiU" w:cs="宋体"/>
                <w:color w:val="000000"/>
              </w:rPr>
            </w:pPr>
            <w:r w:rsidRPr="00CD141C">
              <w:rPr>
                <w:rFonts w:ascii="PMingLiU" w:eastAsia="PMingLiU" w:hAnsi="PMingLiU" w:cs="宋体" w:hint="eastAsia"/>
                <w:color w:val="000000"/>
              </w:rPr>
              <w:lastRenderedPageBreak/>
              <w:t>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预算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调整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预算调整是否按照规定程序进行。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1.根据学校总体收支实现情况，结合学校各部门预算执行进度和学校事业发展的刚性需求，对学校的年度预算经费进行适当调整。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2.按照规定程序调整预算，严把预算调整关口，年度中间原则上不进行临时性、特殊性项目的预算调整。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PMingLiU" w:eastAsia="PMingLiU" w:hAnsi="PMingLiU" w:cs="宋体"/>
                <w:color w:val="000000"/>
              </w:rPr>
            </w:pPr>
            <w:r w:rsidRPr="00CD141C">
              <w:rPr>
                <w:rFonts w:ascii="PMingLiU" w:eastAsia="PMingLiU" w:hAnsi="PMingLiU" w:cs="宋体" w:hint="eastAsia"/>
                <w:color w:val="000000"/>
              </w:rPr>
              <w:t>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收费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1.所有收费是否严格按照省市相关部门规定收费，是否履行相关审批、公示手续。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1.严格按照省市物价部门和学校有关的收费管理规定收费，收费项目和收费标准及时公示，接受校内外监督。</w:t>
            </w:r>
          </w:p>
        </w:tc>
      </w:tr>
      <w:tr w:rsidR="00CD141C" w:rsidRPr="00CD141C" w:rsidTr="00394164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2.所有收费是否统一使用财政统一印制的票据，是否存在私自购买或印制票据。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 加强收费政策的宣传工作，增强相关单位按规定执行教育收费的法纪意识。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3.所有收费是否全部上缴财务，有无“小金库”。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3.学校采取统一、集中的收费管理模式，所有教育收费必须上交学校财务，由财务处统一出具正规发票。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4.加强对票据使用情况的检查，防止使用单位或开票人未按规定开具，可能出现超范围收费或超标准收费。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5.对领用的收据，及时催结、催收，防止缴销时间过长，入账不及时，可能出现资金被挪用或坐支的现象。</w:t>
            </w:r>
          </w:p>
        </w:tc>
      </w:tr>
      <w:tr w:rsidR="00CD141C" w:rsidRPr="00CD141C" w:rsidTr="00394164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6.加强收费检查。</w:t>
            </w:r>
          </w:p>
        </w:tc>
      </w:tr>
      <w:tr w:rsidR="00CD141C" w:rsidRPr="00CD141C" w:rsidTr="00394164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7.小金库专项治理。</w:t>
            </w:r>
          </w:p>
        </w:tc>
      </w:tr>
      <w:tr w:rsidR="00CD141C" w:rsidRPr="00CD141C" w:rsidTr="00394164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PMingLiU" w:eastAsia="PMingLiU" w:hAnsi="PMingLiU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8.票据年检工作。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经费报销审批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经费审批是否严格执行学校相关规章规定。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1.严格按照《盐城幼儿师范高等专科学校经费使用规定（试行）》的规定，坚持“一支笔”审批制度，严格审批权限和审批程序。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2.建立健全学校各类经费的开支范围和开支标准规定，严格按规定审批经费开支。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岗位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1.各会计岗位人员的职责和权限是否明晰。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1.建立和完善会计人员岗位责任制度，明确各会计岗位人员的职责和权限。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2.是否建立定期的会计岗位人员轮换制度。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</w:t>
            </w:r>
            <w:r w:rsidR="00394164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建立定期的会计岗位人员轮换制度，</w:t>
            </w: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不相容岗位分离设置。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3.是否建立相互牵制的内部控制机制。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3.严格按内部帐务处理程序办理，加强会计业务的审核和复核。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4.加强内部管理工作，形成相互牵制、相互监督的工作机制。</w:t>
            </w:r>
          </w:p>
          <w:p w:rsidR="00810475" w:rsidRDefault="00810475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  <w:p w:rsidR="00810475" w:rsidRDefault="00810475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  <w:p w:rsidR="00810475" w:rsidRDefault="00810475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  <w:p w:rsidR="00810475" w:rsidRDefault="00810475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  <w:p w:rsidR="00810475" w:rsidRPr="00CD141C" w:rsidRDefault="00810475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lastRenderedPageBreak/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出纳岗会计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现金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1.坐支现金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1.严格按货币资金开支和保管员的授权批准规定，执行支出限额标准和支出类型。</w:t>
            </w:r>
          </w:p>
        </w:tc>
      </w:tr>
      <w:tr w:rsidR="00CD141C" w:rsidRPr="00CD141C" w:rsidTr="00394164">
        <w:trPr>
          <w:trHeight w:val="2147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2.不按规定开具支票，以现金支付单位款项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2.严格按规定办理开支业务，坚决制止白条抵库和违反开支规定支付现金。</w:t>
            </w:r>
          </w:p>
        </w:tc>
      </w:tr>
      <w:tr w:rsidR="00CD141C" w:rsidRPr="00CD141C" w:rsidTr="00394164">
        <w:trPr>
          <w:trHeight w:val="129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总账会计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专项经费管理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1.专项经费预算未严格按照相关规章制度规定和编报审批程序编制。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1.严格执行有关规章，由归口管理的职能部门牵头，组织项目申报部门按照各专项经费的相关申报要求进行立项论证、立项申报和办理申报立项手续。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 专项经费使用监督不严，经费监管责任不明确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2.申报立项采取 “二上二下”的编报审批程序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3.严格遵守国家有关财经法律法规、会计制度以及《盐城幼儿师范高等专科学校经费使用规定（试行）》的相关规定开支使用。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4.专项经费的使用严格按照预算申报的内容执行。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5.专项经费使用实行立项部门、执行部门双重负责制。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6.建立专项经费使用的监督、审计与绩效考评机制。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B01FC5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票据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1.票据领用未严格按照相关审核、审批制度执行。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1.严格按票据领用程序执行,明确票据缴销时间。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2.已使用票据不及时核查、缴销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2.建立规范的票据借用登记、审核、审批制度。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3.票据使用范围不合理，票据使用检查、监督不力。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3.对领用的收据和开出的票据，及时催结、催收、核查。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4.严格按照国家、省及学校票据使用规定，开具票据。</w:t>
            </w:r>
          </w:p>
        </w:tc>
      </w:tr>
      <w:tr w:rsidR="00CD141C" w:rsidRPr="00CD141C" w:rsidTr="00394164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5.严格检查、监督票据使用情况。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总账会计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部门印章使用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1.印章保管不谨慎，交接手续简化。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1.按规章保管和使用各类印章。</w:t>
            </w:r>
          </w:p>
        </w:tc>
      </w:tr>
      <w:tr w:rsidR="00CD141C" w:rsidRPr="00CD141C" w:rsidTr="00394164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2.印章使用登记不严格。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2.印鉴章实行“印章分管”的原则。</w:t>
            </w:r>
          </w:p>
        </w:tc>
      </w:tr>
      <w:tr w:rsidR="00CD141C" w:rsidRPr="00CD141C" w:rsidTr="00394164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3.严格印鉴章交接手续。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4.经部门负责人批准或授权使用印章。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5.按规定的权限和范围使用，并做好使用登记。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lastRenderedPageBreak/>
              <w:t>11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工资、津贴发放管理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1.人事处等相关部门的工资调整通知出现差错。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1.人事处等相关部门既提供电子文档，又提供纸质文档。纸质文档要求相关部门负责人签字确认，须校领导签批的必须履行审批手续。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2.随意更改已提供的调整通知。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2.制单人员加强审核，稽核人员加强复核，避免工资、津贴发放出现差错。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3.银行加密发放程序出现差错。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3.银行代发工资、津贴数据加密系统实行密码分级管理。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4.工资管理系统密码泄露，工资信息被更改。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4.明确工资管理系统的管理权限，并实行密码分级管理。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总账会计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科研、大型维修购置等专项经费管理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1.项目负责人未按相关法规规定使用项目经费。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1.严格按照国家有关财经法律法规的相关规定，加强科研、大型维修购置等专项经费管理。</w:t>
            </w:r>
          </w:p>
        </w:tc>
      </w:tr>
      <w:tr w:rsidR="00CD141C" w:rsidRPr="00CD141C" w:rsidTr="00394164">
        <w:trPr>
          <w:trHeight w:val="102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2.项目负责人法纪意识谈薄，学校经费监管不到位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2.加强对教育部、财政部等相关科研政策的宣传工作，增强项目负责人科研、大型维修购置等专项经费使用的法纪意识。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3.推进科研、大型维修购置等专项经费的精细化管理。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4.建立高级别科研、大型维修购置等专项经费校内审计检查机制。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64" w:rsidRDefault="00394164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整理</w:t>
            </w:r>
          </w:p>
          <w:p w:rsidR="00394164" w:rsidRDefault="00394164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归档</w:t>
            </w:r>
          </w:p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保管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1.档案归档时可能散失或遗漏。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1指定专人及时进行整理、装订，装订后有人复核。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2.保管不善造成档案遗失或毁损。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2设专人保管，配备必要的专门场所和设备</w:t>
            </w:r>
          </w:p>
        </w:tc>
      </w:tr>
      <w:tr w:rsidR="00CD141C" w:rsidRPr="00CD141C" w:rsidTr="00394164">
        <w:trPr>
          <w:trHeight w:val="7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D141C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FC5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财务处长</w:t>
            </w:r>
          </w:p>
          <w:p w:rsidR="00CD141C" w:rsidRPr="00CD141C" w:rsidRDefault="00CD141C" w:rsidP="00B01F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经办会计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财务档案借阅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1.查阅复制时可能会出现涉密事项。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1.查阅或复制时，必须按《会计档案管理规定》办理相关审批手续，明确查阅或复制事项和范围。</w:t>
            </w:r>
          </w:p>
        </w:tc>
      </w:tr>
      <w:tr w:rsidR="00CD141C" w:rsidRPr="00CD141C" w:rsidTr="00394164">
        <w:trPr>
          <w:trHeight w:val="51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2.查阅或复制档案未出具必要证明材料。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41C" w:rsidRPr="00CD141C" w:rsidRDefault="00CD141C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D141C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 查阅或复制时，必须有档案管理人员陪同。</w:t>
            </w:r>
          </w:p>
        </w:tc>
      </w:tr>
      <w:tr w:rsidR="00323639" w:rsidRPr="00CD141C" w:rsidTr="00394164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39" w:rsidRPr="00CD141C" w:rsidRDefault="00323639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39" w:rsidRPr="00CD141C" w:rsidRDefault="00394164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招标办负责人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64" w:rsidRDefault="00394164" w:rsidP="00394164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采购</w:t>
            </w:r>
          </w:p>
          <w:p w:rsidR="00323639" w:rsidRPr="00CD141C" w:rsidRDefault="00394164" w:rsidP="00394164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立项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639" w:rsidRDefault="00394164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立项不及时</w:t>
            </w:r>
          </w:p>
          <w:p w:rsidR="00394164" w:rsidRPr="00CD141C" w:rsidRDefault="00394164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2.采购方式不恰当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639" w:rsidRDefault="00087673" w:rsidP="00EB79D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</w:t>
            </w:r>
            <w:r w:rsidR="00EB79D3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无特殊情况</w:t>
            </w:r>
            <w:r w:rsidR="00EB79D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限</w:t>
            </w:r>
            <w:r w:rsidR="00EB79D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个工作日</w:t>
            </w:r>
            <w:r w:rsidR="00EB79D3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立项</w:t>
            </w:r>
          </w:p>
          <w:p w:rsidR="00087673" w:rsidRPr="00CD141C" w:rsidRDefault="00087673" w:rsidP="0008767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2.加强业务培训、严格会商机制</w:t>
            </w:r>
          </w:p>
        </w:tc>
      </w:tr>
      <w:tr w:rsidR="00EB79D3" w:rsidRPr="00CD141C" w:rsidTr="00EB79D3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CD141C" w:rsidRDefault="00EB79D3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EB79D3" w:rsidRDefault="00EB79D3" w:rsidP="00EB79D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94EB5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招标办负责人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394164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项目</w:t>
            </w:r>
          </w:p>
          <w:p w:rsidR="00EB79D3" w:rsidRPr="00CD141C" w:rsidRDefault="00EB79D3" w:rsidP="00394164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需求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EB79D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关键需求内容有疏漏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B01FC5" w:rsidP="00B01FC5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对</w:t>
            </w:r>
            <w:r w:rsidR="00087673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关键需求内容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的字体进行加粗</w:t>
            </w:r>
            <w:r w:rsidR="00087673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提醒</w:t>
            </w:r>
          </w:p>
        </w:tc>
      </w:tr>
      <w:tr w:rsidR="00EB79D3" w:rsidRPr="00CD141C" w:rsidTr="00EB79D3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CD141C" w:rsidRDefault="00EB79D3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EB79D3" w:rsidRDefault="00EB79D3" w:rsidP="00EB79D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94EB5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招标办负责人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394164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发布</w:t>
            </w:r>
          </w:p>
          <w:p w:rsidR="00EB79D3" w:rsidRPr="00CD141C" w:rsidRDefault="00EB79D3" w:rsidP="00394164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公告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EB79D3" w:rsidP="002E4F7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发布前保密工作不到位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08767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严格保密要求和追责机制</w:t>
            </w:r>
          </w:p>
        </w:tc>
      </w:tr>
      <w:tr w:rsidR="00EB79D3" w:rsidRPr="00CD141C" w:rsidTr="00EB79D3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EB79D3" w:rsidRDefault="00EB79D3" w:rsidP="00EB79D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94EB5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招标办负责人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73530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报名</w:t>
            </w:r>
          </w:p>
          <w:p w:rsidR="00EB79D3" w:rsidRPr="00CD141C" w:rsidRDefault="00EB79D3" w:rsidP="0073530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EB79D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报名登记不规范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08767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探索网上报名机制</w:t>
            </w:r>
          </w:p>
        </w:tc>
      </w:tr>
      <w:tr w:rsidR="00EB79D3" w:rsidRPr="00CD141C" w:rsidTr="00EB79D3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EB79D3" w:rsidRDefault="00EB79D3" w:rsidP="00EB79D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94EB5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招标办负责人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EB79D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开标</w:t>
            </w:r>
          </w:p>
          <w:p w:rsidR="00EB79D3" w:rsidRPr="00CD141C" w:rsidRDefault="00EB79D3" w:rsidP="00EB79D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Default="00EB79D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1.评委抽签不规范</w:t>
            </w:r>
          </w:p>
          <w:p w:rsidR="00EB79D3" w:rsidRPr="00CD141C" w:rsidRDefault="00EB79D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2.评标流程不规范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Default="0008767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强化监督</w:t>
            </w: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机制</w:t>
            </w:r>
          </w:p>
          <w:p w:rsidR="00087673" w:rsidRPr="00CD141C" w:rsidRDefault="0008767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2.强化业务学习、监督问责</w:t>
            </w:r>
          </w:p>
        </w:tc>
      </w:tr>
      <w:tr w:rsidR="00EB79D3" w:rsidRPr="00CD141C" w:rsidTr="00EB79D3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CD1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Pr="00EB79D3" w:rsidRDefault="00EB79D3" w:rsidP="00EB79D3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A94EB5"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招标办负责人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D3" w:rsidRDefault="00EB79D3" w:rsidP="00EB79D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投诉</w:t>
            </w:r>
          </w:p>
          <w:p w:rsidR="00EB79D3" w:rsidRPr="00CD141C" w:rsidRDefault="00EB79D3" w:rsidP="00EB79D3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处理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EB79D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  <w:t>投诉处理流程不规范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9D3" w:rsidRPr="00CD141C" w:rsidRDefault="00087673" w:rsidP="00CD141C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强化业务学习</w:t>
            </w:r>
          </w:p>
        </w:tc>
      </w:tr>
    </w:tbl>
    <w:p w:rsidR="00CD141C" w:rsidRDefault="00CD141C" w:rsidP="00D31D50">
      <w:pPr>
        <w:spacing w:line="220" w:lineRule="atLeast"/>
      </w:pPr>
    </w:p>
    <w:p w:rsidR="00655D2D" w:rsidRDefault="00655D2D" w:rsidP="00D31D50">
      <w:pPr>
        <w:spacing w:line="220" w:lineRule="atLeast"/>
      </w:pPr>
    </w:p>
    <w:p w:rsidR="00655D2D" w:rsidRDefault="00655D2D" w:rsidP="00D31D50">
      <w:pPr>
        <w:spacing w:line="220" w:lineRule="atLeast"/>
      </w:pPr>
    </w:p>
    <w:p w:rsidR="00655D2D" w:rsidRDefault="00655D2D" w:rsidP="00D31D50">
      <w:pPr>
        <w:spacing w:line="220" w:lineRule="atLeast"/>
      </w:pPr>
    </w:p>
    <w:sectPr w:rsidR="00655D2D" w:rsidSect="00EA4DCA">
      <w:pgSz w:w="11906" w:h="16838"/>
      <w:pgMar w:top="1701" w:right="1797" w:bottom="1304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0D" w:rsidRPr="009B2FA4" w:rsidRDefault="0070010D" w:rsidP="00F14720">
      <w:pPr>
        <w:spacing w:after="0"/>
        <w:rPr>
          <w:rFonts w:ascii="等线" w:eastAsia="等线" w:hAnsi="等线"/>
        </w:rPr>
      </w:pPr>
      <w:r>
        <w:separator/>
      </w:r>
    </w:p>
  </w:endnote>
  <w:endnote w:type="continuationSeparator" w:id="1">
    <w:p w:rsidR="0070010D" w:rsidRPr="009B2FA4" w:rsidRDefault="0070010D" w:rsidP="00F14720">
      <w:pPr>
        <w:spacing w:after="0"/>
        <w:rPr>
          <w:rFonts w:ascii="等线" w:eastAsia="等线" w:hAnsi="等线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方正舒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7A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altName w:val="Arial Unicode MS"/>
    <w:charset w:val="7A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0D" w:rsidRPr="009B2FA4" w:rsidRDefault="0070010D" w:rsidP="00F14720">
      <w:pPr>
        <w:spacing w:after="0"/>
        <w:rPr>
          <w:rFonts w:ascii="等线" w:eastAsia="等线" w:hAnsi="等线"/>
        </w:rPr>
      </w:pPr>
      <w:r>
        <w:separator/>
      </w:r>
    </w:p>
  </w:footnote>
  <w:footnote w:type="continuationSeparator" w:id="1">
    <w:p w:rsidR="0070010D" w:rsidRPr="009B2FA4" w:rsidRDefault="0070010D" w:rsidP="00F14720">
      <w:pPr>
        <w:spacing w:after="0"/>
        <w:rPr>
          <w:rFonts w:ascii="等线" w:eastAsia="等线" w:hAnsi="等线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87673"/>
    <w:rsid w:val="000F41BE"/>
    <w:rsid w:val="001318F4"/>
    <w:rsid w:val="00225440"/>
    <w:rsid w:val="002921B0"/>
    <w:rsid w:val="002F6F56"/>
    <w:rsid w:val="00323639"/>
    <w:rsid w:val="00323B43"/>
    <w:rsid w:val="00394164"/>
    <w:rsid w:val="003C30A0"/>
    <w:rsid w:val="003D37D8"/>
    <w:rsid w:val="00426133"/>
    <w:rsid w:val="004358AB"/>
    <w:rsid w:val="005E5F69"/>
    <w:rsid w:val="0060166E"/>
    <w:rsid w:val="00655D2D"/>
    <w:rsid w:val="00655FA5"/>
    <w:rsid w:val="00682E38"/>
    <w:rsid w:val="006B0048"/>
    <w:rsid w:val="0070010D"/>
    <w:rsid w:val="0073530F"/>
    <w:rsid w:val="00755647"/>
    <w:rsid w:val="007A1935"/>
    <w:rsid w:val="00810475"/>
    <w:rsid w:val="008845F9"/>
    <w:rsid w:val="008B7726"/>
    <w:rsid w:val="00945DC1"/>
    <w:rsid w:val="00965055"/>
    <w:rsid w:val="00971488"/>
    <w:rsid w:val="0097556D"/>
    <w:rsid w:val="00A27E44"/>
    <w:rsid w:val="00A564AC"/>
    <w:rsid w:val="00A61836"/>
    <w:rsid w:val="00AF79D6"/>
    <w:rsid w:val="00B01FC5"/>
    <w:rsid w:val="00CC1293"/>
    <w:rsid w:val="00CD141C"/>
    <w:rsid w:val="00D31D50"/>
    <w:rsid w:val="00D348A6"/>
    <w:rsid w:val="00DB6210"/>
    <w:rsid w:val="00EA4DCA"/>
    <w:rsid w:val="00EB79D3"/>
    <w:rsid w:val="00F14720"/>
    <w:rsid w:val="00F160C9"/>
    <w:rsid w:val="00F5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7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7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7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7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dcterms:created xsi:type="dcterms:W3CDTF">2008-09-11T17:20:00Z</dcterms:created>
  <dcterms:modified xsi:type="dcterms:W3CDTF">2019-04-01T06:07:00Z</dcterms:modified>
</cp:coreProperties>
</file>